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C7" w:rsidRPr="00CA65B1" w:rsidRDefault="00E620C7" w:rsidP="00CA65B1">
      <w:pPr>
        <w:keepNext/>
        <w:keepLines/>
        <w:shd w:val="clear" w:color="auto" w:fill="FFFFFF"/>
        <w:spacing w:after="0" w:line="240" w:lineRule="auto"/>
        <w:jc w:val="center"/>
        <w:rPr>
          <w:rFonts w:ascii="Times New Roman" w:eastAsia="Times New Roman" w:hAnsi="Times New Roman" w:cs="Times New Roman"/>
          <w:sz w:val="26"/>
          <w:szCs w:val="26"/>
          <w:lang w:eastAsia="ru-RU"/>
        </w:rPr>
      </w:pPr>
      <w:r w:rsidRPr="00CA65B1">
        <w:rPr>
          <w:rFonts w:ascii="Times New Roman" w:eastAsia="Times New Roman" w:hAnsi="Times New Roman" w:cs="Times New Roman"/>
          <w:sz w:val="26"/>
          <w:szCs w:val="26"/>
          <w:lang w:eastAsia="ru-RU"/>
        </w:rPr>
        <w:t xml:space="preserve">ИЗМЕНЕНИЯ </w:t>
      </w:r>
    </w:p>
    <w:p w:rsidR="00533FCE" w:rsidRPr="00CA65B1" w:rsidRDefault="00E620C7" w:rsidP="00CA65B1">
      <w:pPr>
        <w:keepNext/>
        <w:keepLines/>
        <w:shd w:val="clear" w:color="auto" w:fill="FFFFFF"/>
        <w:spacing w:after="0" w:line="240" w:lineRule="auto"/>
        <w:jc w:val="center"/>
        <w:rPr>
          <w:rFonts w:ascii="Times New Roman" w:eastAsia="Times New Roman" w:hAnsi="Times New Roman" w:cs="Times New Roman"/>
          <w:sz w:val="26"/>
          <w:szCs w:val="26"/>
          <w:lang w:eastAsia="ru-RU"/>
        </w:rPr>
      </w:pPr>
      <w:r w:rsidRPr="00CA65B1">
        <w:rPr>
          <w:rFonts w:ascii="Times New Roman" w:eastAsia="Times New Roman" w:hAnsi="Times New Roman" w:cs="Times New Roman"/>
          <w:sz w:val="26"/>
          <w:szCs w:val="26"/>
          <w:lang w:eastAsia="ru-RU"/>
        </w:rPr>
        <w:t xml:space="preserve">в </w:t>
      </w:r>
      <w:r w:rsidR="00533FCE" w:rsidRPr="00CA65B1">
        <w:rPr>
          <w:rFonts w:ascii="Times New Roman" w:eastAsia="Times New Roman" w:hAnsi="Times New Roman" w:cs="Times New Roman"/>
          <w:sz w:val="26"/>
          <w:szCs w:val="26"/>
          <w:lang w:eastAsia="ru-RU"/>
        </w:rPr>
        <w:t xml:space="preserve">«Стратегию социально-экономического развития </w:t>
      </w:r>
      <w:r w:rsidR="000C2D47" w:rsidRPr="00CA65B1">
        <w:rPr>
          <w:rFonts w:ascii="Times New Roman" w:eastAsia="Times New Roman" w:hAnsi="Times New Roman" w:cs="Times New Roman"/>
          <w:sz w:val="26"/>
          <w:szCs w:val="26"/>
          <w:lang w:eastAsia="ru-RU"/>
        </w:rPr>
        <w:br/>
      </w:r>
      <w:r w:rsidR="00533FCE" w:rsidRPr="00CA65B1">
        <w:rPr>
          <w:rFonts w:ascii="Times New Roman" w:eastAsia="Times New Roman" w:hAnsi="Times New Roman" w:cs="Times New Roman"/>
          <w:sz w:val="26"/>
          <w:szCs w:val="26"/>
          <w:lang w:eastAsia="ru-RU"/>
        </w:rPr>
        <w:t>Лужского муниципального района на 2016-2030 гг.»</w:t>
      </w:r>
    </w:p>
    <w:p w:rsidR="00533FCE" w:rsidRPr="00CA65B1" w:rsidRDefault="00533FCE" w:rsidP="00CA65B1">
      <w:pPr>
        <w:keepNext/>
        <w:keepLines/>
        <w:shd w:val="clear" w:color="auto" w:fill="FFFFFF"/>
        <w:spacing w:after="0" w:line="240" w:lineRule="auto"/>
        <w:rPr>
          <w:rFonts w:ascii="Times New Roman" w:eastAsia="Times New Roman" w:hAnsi="Times New Roman" w:cs="Times New Roman"/>
          <w:sz w:val="28"/>
          <w:szCs w:val="28"/>
          <w:lang w:eastAsia="ru-RU"/>
        </w:rPr>
      </w:pPr>
    </w:p>
    <w:p w:rsidR="00533FCE" w:rsidRPr="00C547C7" w:rsidRDefault="00533FCE" w:rsidP="00CA65B1">
      <w:pPr>
        <w:pStyle w:val="a4"/>
        <w:keepNext/>
        <w:keepLines/>
        <w:numPr>
          <w:ilvl w:val="0"/>
          <w:numId w:val="2"/>
        </w:numPr>
        <w:shd w:val="clear" w:color="auto" w:fill="FFFFFF"/>
        <w:tabs>
          <w:tab w:val="left" w:pos="709"/>
        </w:tabs>
        <w:spacing w:after="0" w:line="240" w:lineRule="auto"/>
        <w:ind w:left="0" w:firstLine="0"/>
        <w:jc w:val="both"/>
        <w:rPr>
          <w:rFonts w:ascii="Times New Roman" w:eastAsia="Times New Roman" w:hAnsi="Times New Roman" w:cs="Times New Roman"/>
          <w:color w:val="000000"/>
          <w:sz w:val="28"/>
          <w:szCs w:val="28"/>
          <w:lang w:eastAsia="ru-RU"/>
        </w:rPr>
      </w:pPr>
      <w:proofErr w:type="gramStart"/>
      <w:r w:rsidRPr="00CA65B1">
        <w:rPr>
          <w:rFonts w:ascii="Times New Roman" w:eastAsia="Times New Roman" w:hAnsi="Times New Roman" w:cs="Times New Roman"/>
          <w:sz w:val="28"/>
          <w:szCs w:val="28"/>
          <w:lang w:eastAsia="ru-RU"/>
        </w:rPr>
        <w:t xml:space="preserve">Внести </w:t>
      </w:r>
      <w:r w:rsidRPr="00FB1DE3">
        <w:rPr>
          <w:rFonts w:ascii="Times New Roman" w:eastAsia="Times New Roman" w:hAnsi="Times New Roman" w:cs="Times New Roman"/>
          <w:sz w:val="28"/>
          <w:szCs w:val="28"/>
          <w:lang w:eastAsia="ru-RU"/>
        </w:rPr>
        <w:t xml:space="preserve">в </w:t>
      </w:r>
      <w:r w:rsidRPr="00CA65B1">
        <w:rPr>
          <w:rFonts w:ascii="Times New Roman" w:eastAsia="Times New Roman" w:hAnsi="Times New Roman" w:cs="Times New Roman"/>
          <w:sz w:val="28"/>
          <w:szCs w:val="28"/>
          <w:lang w:eastAsia="ru-RU"/>
        </w:rPr>
        <w:t>«</w:t>
      </w:r>
      <w:r w:rsidRPr="00FB1DE3">
        <w:rPr>
          <w:rFonts w:ascii="Times New Roman" w:eastAsia="Times New Roman" w:hAnsi="Times New Roman" w:cs="Times New Roman"/>
          <w:sz w:val="28"/>
          <w:szCs w:val="28"/>
          <w:lang w:eastAsia="ru-RU"/>
        </w:rPr>
        <w:t>Стратегию социально-экономического развития Лужского муниципального района на 2016-2030 гг.</w:t>
      </w:r>
      <w:r w:rsidRPr="00CA65B1">
        <w:rPr>
          <w:rFonts w:ascii="Times New Roman" w:eastAsia="Times New Roman" w:hAnsi="Times New Roman" w:cs="Times New Roman"/>
          <w:sz w:val="28"/>
          <w:szCs w:val="28"/>
          <w:lang w:eastAsia="ru-RU"/>
        </w:rPr>
        <w:t xml:space="preserve">», утвержденную  решением </w:t>
      </w:r>
      <w:r w:rsidRPr="00FB1DE3">
        <w:rPr>
          <w:rFonts w:ascii="Times New Roman" w:eastAsia="Times New Roman" w:hAnsi="Times New Roman" w:cs="Times New Roman"/>
          <w:sz w:val="28"/>
          <w:szCs w:val="28"/>
          <w:lang w:eastAsia="ru-RU"/>
        </w:rPr>
        <w:t xml:space="preserve">Совета депутатов МО </w:t>
      </w:r>
      <w:r w:rsidRPr="00CA65B1">
        <w:rPr>
          <w:rFonts w:ascii="Times New Roman" w:eastAsia="Times New Roman" w:hAnsi="Times New Roman" w:cs="Times New Roman"/>
          <w:sz w:val="28"/>
          <w:szCs w:val="28"/>
          <w:lang w:eastAsia="ru-RU"/>
        </w:rPr>
        <w:t>Лужский муниципальный район Ленинградской области</w:t>
      </w:r>
      <w:r w:rsidRPr="00FB1DE3">
        <w:rPr>
          <w:rFonts w:ascii="Times New Roman" w:eastAsia="Times New Roman" w:hAnsi="Times New Roman" w:cs="Times New Roman"/>
          <w:sz w:val="28"/>
          <w:szCs w:val="28"/>
          <w:lang w:eastAsia="ru-RU"/>
        </w:rPr>
        <w:t xml:space="preserve">  от</w:t>
      </w:r>
      <w:r w:rsidRPr="00CA65B1">
        <w:rPr>
          <w:rFonts w:ascii="Times New Roman" w:hAnsi="Times New Roman" w:cs="Times New Roman"/>
          <w:sz w:val="28"/>
          <w:szCs w:val="28"/>
        </w:rPr>
        <w:t xml:space="preserve"> 31.05.2016 № 143 «</w:t>
      </w:r>
      <w:r w:rsidRPr="00CA65B1">
        <w:rPr>
          <w:rFonts w:ascii="Times New Roman" w:eastAsia="Times New Roman" w:hAnsi="Times New Roman" w:cs="Times New Roman"/>
          <w:sz w:val="28"/>
          <w:szCs w:val="28"/>
          <w:lang w:eastAsia="ru-RU"/>
        </w:rPr>
        <w:t>Об утверждении Стратегии социально-экономического развития Лужского муниципального района на 2016-2030 гг. и Плана мероприятий по реализации стратегии социально-экономического развития Лужского муниципального района на 2016-2030 гг.» следующие изменения:</w:t>
      </w:r>
      <w:proofErr w:type="gramEnd"/>
    </w:p>
    <w:p w:rsidR="00C547C7" w:rsidRPr="002D552D" w:rsidRDefault="00C547C7" w:rsidP="00C547C7">
      <w:pPr>
        <w:pStyle w:val="a4"/>
        <w:keepNext/>
        <w:keepLines/>
        <w:shd w:val="clear" w:color="auto" w:fill="FFFFFF"/>
        <w:tabs>
          <w:tab w:val="left" w:pos="709"/>
        </w:tabs>
        <w:spacing w:after="0" w:line="240" w:lineRule="auto"/>
        <w:ind w:left="0"/>
        <w:jc w:val="both"/>
        <w:rPr>
          <w:rFonts w:ascii="Times New Roman" w:eastAsia="Times New Roman" w:hAnsi="Times New Roman" w:cs="Times New Roman"/>
          <w:color w:val="000000"/>
          <w:sz w:val="10"/>
          <w:szCs w:val="10"/>
          <w:lang w:eastAsia="ru-RU"/>
        </w:rPr>
      </w:pPr>
    </w:p>
    <w:p w:rsidR="00533FCE" w:rsidRPr="00CA65B1" w:rsidRDefault="00533FCE" w:rsidP="00CA65B1">
      <w:pPr>
        <w:pStyle w:val="a4"/>
        <w:keepNext/>
        <w:keepLines/>
        <w:numPr>
          <w:ilvl w:val="1"/>
          <w:numId w:val="4"/>
        </w:numPr>
        <w:shd w:val="clear" w:color="auto" w:fill="FFFFFF"/>
        <w:tabs>
          <w:tab w:val="left" w:pos="709"/>
        </w:tabs>
        <w:spacing w:before="120" w:after="120" w:line="240" w:lineRule="auto"/>
        <w:ind w:left="0" w:firstLine="0"/>
        <w:jc w:val="both"/>
        <w:rPr>
          <w:rFonts w:ascii="Times New Roman" w:eastAsia="Times New Roman" w:hAnsi="Times New Roman" w:cs="Times New Roman"/>
          <w:sz w:val="28"/>
          <w:szCs w:val="28"/>
          <w:lang w:eastAsia="ru-RU"/>
        </w:rPr>
      </w:pPr>
      <w:r w:rsidRPr="00CA65B1">
        <w:rPr>
          <w:rFonts w:ascii="Times New Roman" w:eastAsia="Times New Roman" w:hAnsi="Times New Roman" w:cs="Times New Roman"/>
          <w:sz w:val="28"/>
          <w:szCs w:val="28"/>
          <w:lang w:eastAsia="ru-RU"/>
        </w:rPr>
        <w:t>Изложить таблицу 12 «Фиксация достигнутого уровня и определение целевых ориентиров стратегии» в</w:t>
      </w:r>
      <w:r w:rsidR="000C2D47" w:rsidRPr="00CA65B1">
        <w:rPr>
          <w:rFonts w:ascii="Times New Roman" w:eastAsia="Times New Roman" w:hAnsi="Times New Roman" w:cs="Times New Roman"/>
          <w:sz w:val="28"/>
          <w:szCs w:val="28"/>
          <w:lang w:eastAsia="ru-RU"/>
        </w:rPr>
        <w:t xml:space="preserve"> следующей</w:t>
      </w:r>
      <w:r w:rsidRPr="00CA65B1">
        <w:rPr>
          <w:rFonts w:ascii="Times New Roman" w:eastAsia="Times New Roman" w:hAnsi="Times New Roman" w:cs="Times New Roman"/>
          <w:sz w:val="28"/>
          <w:szCs w:val="28"/>
          <w:lang w:eastAsia="ru-RU"/>
        </w:rPr>
        <w:t xml:space="preserve"> редакции</w:t>
      </w:r>
      <w:r w:rsidR="000C2D47" w:rsidRPr="00CA65B1">
        <w:rPr>
          <w:rFonts w:ascii="Times New Roman" w:eastAsia="Times New Roman" w:hAnsi="Times New Roman" w:cs="Times New Roman"/>
          <w:sz w:val="28"/>
          <w:szCs w:val="28"/>
          <w:lang w:eastAsia="ru-RU"/>
        </w:rPr>
        <w:t>:</w:t>
      </w:r>
    </w:p>
    <w:p w:rsidR="000C2D47" w:rsidRPr="00CA65B1" w:rsidRDefault="000C2D47" w:rsidP="00CA65B1">
      <w:pPr>
        <w:pStyle w:val="aa"/>
        <w:keepNext/>
        <w:keepLines/>
        <w:rPr>
          <w:rFonts w:ascii="Times New Roman" w:hAnsi="Times New Roman" w:cs="Times New Roman"/>
          <w:color w:val="auto"/>
          <w:sz w:val="24"/>
          <w:szCs w:val="24"/>
        </w:rPr>
      </w:pPr>
      <w:r w:rsidRPr="00CA65B1">
        <w:rPr>
          <w:rFonts w:ascii="Times New Roman" w:hAnsi="Times New Roman" w:cs="Times New Roman"/>
          <w:color w:val="auto"/>
          <w:sz w:val="24"/>
          <w:szCs w:val="24"/>
        </w:rPr>
        <w:t xml:space="preserve">«Таблица </w:t>
      </w:r>
      <w:r w:rsidR="008A0C16" w:rsidRPr="00CA65B1">
        <w:rPr>
          <w:rFonts w:ascii="Times New Roman" w:hAnsi="Times New Roman" w:cs="Times New Roman"/>
          <w:color w:val="auto"/>
          <w:sz w:val="24"/>
          <w:szCs w:val="24"/>
        </w:rPr>
        <w:fldChar w:fldCharType="begin"/>
      </w:r>
      <w:r w:rsidRPr="00CA65B1">
        <w:rPr>
          <w:rFonts w:ascii="Times New Roman" w:hAnsi="Times New Roman" w:cs="Times New Roman"/>
          <w:color w:val="auto"/>
          <w:sz w:val="24"/>
          <w:szCs w:val="24"/>
        </w:rPr>
        <w:instrText xml:space="preserve"> SEQ Таблица \* ARABIC </w:instrText>
      </w:r>
      <w:r w:rsidR="008A0C16" w:rsidRPr="00CA65B1">
        <w:rPr>
          <w:rFonts w:ascii="Times New Roman" w:hAnsi="Times New Roman" w:cs="Times New Roman"/>
          <w:color w:val="auto"/>
          <w:sz w:val="24"/>
          <w:szCs w:val="24"/>
        </w:rPr>
        <w:fldChar w:fldCharType="separate"/>
      </w:r>
      <w:r w:rsidR="0039507D">
        <w:rPr>
          <w:rFonts w:ascii="Times New Roman" w:hAnsi="Times New Roman" w:cs="Times New Roman"/>
          <w:noProof/>
          <w:color w:val="auto"/>
          <w:sz w:val="24"/>
          <w:szCs w:val="24"/>
        </w:rPr>
        <w:t>1</w:t>
      </w:r>
      <w:r w:rsidR="008A0C16" w:rsidRPr="00CA65B1">
        <w:rPr>
          <w:rFonts w:ascii="Times New Roman" w:hAnsi="Times New Roman" w:cs="Times New Roman"/>
          <w:noProof/>
          <w:color w:val="auto"/>
          <w:sz w:val="24"/>
          <w:szCs w:val="24"/>
        </w:rPr>
        <w:fldChar w:fldCharType="end"/>
      </w:r>
      <w:r w:rsidRPr="00CA65B1">
        <w:rPr>
          <w:rFonts w:ascii="Times New Roman" w:hAnsi="Times New Roman" w:cs="Times New Roman"/>
          <w:noProof/>
          <w:color w:val="auto"/>
          <w:sz w:val="24"/>
          <w:szCs w:val="24"/>
        </w:rPr>
        <w:t>2</w:t>
      </w:r>
      <w:r w:rsidRPr="00CA65B1">
        <w:rPr>
          <w:rFonts w:ascii="Times New Roman" w:hAnsi="Times New Roman" w:cs="Times New Roman"/>
          <w:color w:val="auto"/>
          <w:sz w:val="24"/>
          <w:szCs w:val="24"/>
        </w:rPr>
        <w:t>. Фиксация достигнутого уровня и определение целевых ориентиров стратегии (новая редакция)</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5"/>
        <w:gridCol w:w="778"/>
        <w:gridCol w:w="829"/>
        <w:gridCol w:w="1213"/>
        <w:gridCol w:w="1243"/>
        <w:gridCol w:w="1243"/>
        <w:gridCol w:w="1096"/>
      </w:tblGrid>
      <w:tr w:rsidR="00334F58" w:rsidRPr="00A47176" w:rsidTr="008F68ED">
        <w:trPr>
          <w:trHeight w:val="57"/>
        </w:trPr>
        <w:tc>
          <w:tcPr>
            <w:tcW w:w="2868" w:type="pct"/>
            <w:shd w:val="clear" w:color="auto" w:fill="auto"/>
            <w:hideMark/>
          </w:tcPr>
          <w:p w:rsidR="00E073EE" w:rsidRPr="00A47176" w:rsidRDefault="00E073EE" w:rsidP="00334F58">
            <w:pPr>
              <w:keepNext/>
              <w:keepLines/>
              <w:spacing w:after="0" w:line="240" w:lineRule="auto"/>
              <w:jc w:val="center"/>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Целевые показатели СЭР Лужского района</w:t>
            </w:r>
          </w:p>
        </w:tc>
        <w:tc>
          <w:tcPr>
            <w:tcW w:w="259" w:type="pct"/>
            <w:shd w:val="clear" w:color="auto" w:fill="auto"/>
            <w:hideMark/>
          </w:tcPr>
          <w:p w:rsidR="00E073EE" w:rsidRPr="00A47176" w:rsidRDefault="00E073EE" w:rsidP="00334F58">
            <w:pPr>
              <w:keepNext/>
              <w:keepLines/>
              <w:spacing w:after="0" w:line="240" w:lineRule="auto"/>
              <w:jc w:val="center"/>
              <w:rPr>
                <w:rFonts w:ascii="Times New Roman" w:eastAsia="Times New Roman" w:hAnsi="Times New Roman" w:cs="Times New Roman"/>
                <w:i/>
                <w:iCs/>
                <w:color w:val="000000"/>
                <w:sz w:val="20"/>
                <w:szCs w:val="20"/>
                <w:lang w:eastAsia="ru-RU"/>
              </w:rPr>
            </w:pPr>
            <w:r w:rsidRPr="00A47176">
              <w:rPr>
                <w:rFonts w:ascii="Times New Roman" w:eastAsia="Times New Roman" w:hAnsi="Times New Roman" w:cs="Times New Roman"/>
                <w:i/>
                <w:iCs/>
                <w:color w:val="000000"/>
                <w:sz w:val="20"/>
                <w:szCs w:val="20"/>
                <w:lang w:eastAsia="ru-RU"/>
              </w:rPr>
              <w:t xml:space="preserve">Ед. </w:t>
            </w:r>
            <w:proofErr w:type="spellStart"/>
            <w:r w:rsidRPr="00A47176">
              <w:rPr>
                <w:rFonts w:ascii="Times New Roman" w:eastAsia="Times New Roman" w:hAnsi="Times New Roman" w:cs="Times New Roman"/>
                <w:i/>
                <w:iCs/>
                <w:color w:val="000000"/>
                <w:sz w:val="20"/>
                <w:szCs w:val="20"/>
                <w:lang w:eastAsia="ru-RU"/>
              </w:rPr>
              <w:t>изм</w:t>
            </w:r>
            <w:proofErr w:type="spellEnd"/>
            <w:r w:rsidRPr="00A47176">
              <w:rPr>
                <w:rFonts w:ascii="Times New Roman" w:eastAsia="Times New Roman" w:hAnsi="Times New Roman" w:cs="Times New Roman"/>
                <w:i/>
                <w:iCs/>
                <w:color w:val="000000"/>
                <w:sz w:val="20"/>
                <w:szCs w:val="20"/>
                <w:lang w:eastAsia="ru-RU"/>
              </w:rPr>
              <w:t>.</w:t>
            </w:r>
          </w:p>
        </w:tc>
        <w:tc>
          <w:tcPr>
            <w:tcW w:w="276" w:type="pct"/>
            <w:shd w:val="clear" w:color="auto" w:fill="auto"/>
            <w:hideMark/>
          </w:tcPr>
          <w:p w:rsidR="00E073EE" w:rsidRPr="00A47176" w:rsidRDefault="00A47176" w:rsidP="00334F58">
            <w:pPr>
              <w:keepNext/>
              <w:keepLines/>
              <w:spacing w:after="0" w:line="240" w:lineRule="auto"/>
              <w:jc w:val="center"/>
              <w:rPr>
                <w:rFonts w:ascii="Times New Roman" w:eastAsia="Times New Roman" w:hAnsi="Times New Roman" w:cs="Times New Roman"/>
                <w:i/>
                <w:iCs/>
                <w:color w:val="000000"/>
                <w:sz w:val="20"/>
                <w:szCs w:val="20"/>
                <w:lang w:eastAsia="ru-RU"/>
              </w:rPr>
            </w:pPr>
            <w:proofErr w:type="spellStart"/>
            <w:proofErr w:type="gramStart"/>
            <w:r>
              <w:rPr>
                <w:rFonts w:ascii="Times New Roman" w:eastAsia="Times New Roman" w:hAnsi="Times New Roman" w:cs="Times New Roman"/>
                <w:i/>
                <w:iCs/>
                <w:color w:val="000000"/>
                <w:sz w:val="20"/>
                <w:szCs w:val="20"/>
                <w:lang w:eastAsia="ru-RU"/>
              </w:rPr>
              <w:t>Сцена-рий</w:t>
            </w:r>
            <w:proofErr w:type="spellEnd"/>
            <w:proofErr w:type="gramEnd"/>
            <w:r>
              <w:rPr>
                <w:rFonts w:ascii="Times New Roman" w:eastAsia="Times New Roman" w:hAnsi="Times New Roman" w:cs="Times New Roman"/>
                <w:i/>
                <w:iCs/>
                <w:color w:val="000000"/>
                <w:sz w:val="20"/>
                <w:szCs w:val="20"/>
                <w:lang w:eastAsia="ru-RU"/>
              </w:rPr>
              <w:t>*</w:t>
            </w:r>
          </w:p>
        </w:tc>
        <w:tc>
          <w:tcPr>
            <w:tcW w:w="404" w:type="pct"/>
            <w:shd w:val="clear" w:color="auto" w:fill="auto"/>
            <w:hideMark/>
          </w:tcPr>
          <w:p w:rsidR="00E073EE" w:rsidRPr="00A47176" w:rsidRDefault="00E073EE" w:rsidP="00334F58">
            <w:pPr>
              <w:keepNext/>
              <w:keepLines/>
              <w:spacing w:after="0" w:line="240" w:lineRule="auto"/>
              <w:jc w:val="center"/>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2016</w:t>
            </w:r>
          </w:p>
        </w:tc>
        <w:tc>
          <w:tcPr>
            <w:tcW w:w="414" w:type="pct"/>
            <w:shd w:val="clear" w:color="auto" w:fill="auto"/>
            <w:hideMark/>
          </w:tcPr>
          <w:p w:rsidR="00E073EE" w:rsidRPr="00A47176" w:rsidRDefault="00E073EE" w:rsidP="00334F58">
            <w:pPr>
              <w:keepNext/>
              <w:keepLines/>
              <w:spacing w:after="0" w:line="240" w:lineRule="auto"/>
              <w:jc w:val="center"/>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2019</w:t>
            </w:r>
          </w:p>
        </w:tc>
        <w:tc>
          <w:tcPr>
            <w:tcW w:w="414" w:type="pct"/>
            <w:shd w:val="clear" w:color="auto" w:fill="auto"/>
            <w:hideMark/>
          </w:tcPr>
          <w:p w:rsidR="00E073EE" w:rsidRPr="00A47176" w:rsidRDefault="00E073EE" w:rsidP="00334F58">
            <w:pPr>
              <w:keepNext/>
              <w:keepLines/>
              <w:spacing w:after="0" w:line="240" w:lineRule="auto"/>
              <w:jc w:val="center"/>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2024</w:t>
            </w:r>
          </w:p>
        </w:tc>
        <w:tc>
          <w:tcPr>
            <w:tcW w:w="365" w:type="pct"/>
            <w:shd w:val="clear" w:color="auto" w:fill="auto"/>
            <w:hideMark/>
          </w:tcPr>
          <w:p w:rsidR="00E073EE" w:rsidRPr="00A47176" w:rsidRDefault="00E073EE" w:rsidP="00334F58">
            <w:pPr>
              <w:keepNext/>
              <w:keepLines/>
              <w:spacing w:after="0" w:line="240" w:lineRule="auto"/>
              <w:jc w:val="center"/>
              <w:rPr>
                <w:rFonts w:ascii="Times New Roman" w:eastAsia="Times New Roman" w:hAnsi="Times New Roman" w:cs="Times New Roman"/>
                <w:bCs/>
                <w:color w:val="000000"/>
                <w:sz w:val="20"/>
                <w:szCs w:val="20"/>
                <w:lang w:eastAsia="ru-RU"/>
              </w:rPr>
            </w:pPr>
            <w:r w:rsidRPr="00A47176">
              <w:rPr>
                <w:rFonts w:ascii="Times New Roman" w:eastAsia="Times New Roman" w:hAnsi="Times New Roman" w:cs="Times New Roman"/>
                <w:bCs/>
                <w:color w:val="000000"/>
                <w:sz w:val="20"/>
                <w:szCs w:val="20"/>
                <w:lang w:eastAsia="ru-RU"/>
              </w:rPr>
              <w:t>2 030</w:t>
            </w:r>
          </w:p>
        </w:tc>
      </w:tr>
      <w:tr w:rsidR="00334F58" w:rsidRPr="00A47176" w:rsidTr="008F68ED">
        <w:trPr>
          <w:trHeight w:val="57"/>
        </w:trPr>
        <w:tc>
          <w:tcPr>
            <w:tcW w:w="2868" w:type="pct"/>
            <w:shd w:val="clear" w:color="auto" w:fill="auto"/>
            <w:hideMark/>
          </w:tcPr>
          <w:p w:rsidR="00334F58" w:rsidRPr="00A47176" w:rsidRDefault="00334F58" w:rsidP="00334F58">
            <w:pPr>
              <w:keepNext/>
              <w:keepLine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59" w:type="pct"/>
            <w:shd w:val="clear" w:color="auto" w:fill="auto"/>
            <w:hideMark/>
          </w:tcPr>
          <w:p w:rsidR="00334F58" w:rsidRPr="00A47176" w:rsidRDefault="00334F58" w:rsidP="00334F58">
            <w:pPr>
              <w:keepNext/>
              <w:keepLines/>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2</w:t>
            </w:r>
          </w:p>
        </w:tc>
        <w:tc>
          <w:tcPr>
            <w:tcW w:w="276" w:type="pct"/>
            <w:shd w:val="clear" w:color="auto" w:fill="auto"/>
            <w:hideMark/>
          </w:tcPr>
          <w:p w:rsidR="00334F58" w:rsidRDefault="00334F58" w:rsidP="00334F58">
            <w:pPr>
              <w:keepNext/>
              <w:keepLines/>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3</w:t>
            </w:r>
          </w:p>
        </w:tc>
        <w:tc>
          <w:tcPr>
            <w:tcW w:w="404" w:type="pct"/>
            <w:shd w:val="clear" w:color="auto" w:fill="auto"/>
            <w:hideMark/>
          </w:tcPr>
          <w:p w:rsidR="00334F58" w:rsidRPr="00A47176" w:rsidRDefault="00334F58" w:rsidP="00334F58">
            <w:pPr>
              <w:keepNext/>
              <w:keepLine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414" w:type="pct"/>
            <w:shd w:val="clear" w:color="auto" w:fill="auto"/>
            <w:hideMark/>
          </w:tcPr>
          <w:p w:rsidR="00334F58" w:rsidRPr="00A47176" w:rsidRDefault="00334F58" w:rsidP="00334F58">
            <w:pPr>
              <w:keepNext/>
              <w:keepLine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414" w:type="pct"/>
            <w:shd w:val="clear" w:color="auto" w:fill="auto"/>
            <w:hideMark/>
          </w:tcPr>
          <w:p w:rsidR="00334F58" w:rsidRPr="00A47176" w:rsidRDefault="00334F58" w:rsidP="00334F58">
            <w:pPr>
              <w:keepNext/>
              <w:keepLine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365" w:type="pct"/>
            <w:shd w:val="clear" w:color="auto" w:fill="auto"/>
            <w:hideMark/>
          </w:tcPr>
          <w:p w:rsidR="00334F58" w:rsidRPr="00A47176" w:rsidRDefault="00334F58" w:rsidP="00334F58">
            <w:pPr>
              <w:keepNext/>
              <w:keepLines/>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r>
      <w:tr w:rsidR="00A47176" w:rsidRPr="00334F58" w:rsidTr="002A73FB">
        <w:trPr>
          <w:trHeight w:val="57"/>
        </w:trPr>
        <w:tc>
          <w:tcPr>
            <w:tcW w:w="5000" w:type="pct"/>
            <w:gridSpan w:val="7"/>
            <w:shd w:val="clear" w:color="auto" w:fill="auto"/>
            <w:hideMark/>
          </w:tcPr>
          <w:p w:rsidR="00A47176" w:rsidRPr="00334F58" w:rsidRDefault="00A47176" w:rsidP="00A47176">
            <w:pPr>
              <w:keepNext/>
              <w:keepLines/>
              <w:spacing w:after="0" w:line="240" w:lineRule="auto"/>
              <w:rPr>
                <w:rFonts w:ascii="Times New Roman" w:eastAsia="Times New Roman" w:hAnsi="Times New Roman" w:cs="Times New Roman"/>
                <w:b/>
                <w:bCs/>
                <w:color w:val="0F253F"/>
                <w:sz w:val="24"/>
                <w:szCs w:val="24"/>
                <w:lang w:eastAsia="ru-RU"/>
              </w:rPr>
            </w:pPr>
            <w:r w:rsidRPr="00334F58">
              <w:rPr>
                <w:rFonts w:ascii="Times New Roman" w:eastAsia="Times New Roman" w:hAnsi="Times New Roman" w:cs="Times New Roman"/>
                <w:b/>
                <w:sz w:val="24"/>
                <w:szCs w:val="24"/>
                <w:lang w:eastAsia="ru-RU"/>
              </w:rPr>
              <w:t>Лучшие условия для бизнеса: институты и инфраструктура</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 xml:space="preserve">Среднесписочная численность работников организаций, не относящихся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 ОБРАБАТЫВАЮЩИЕ ПРОИЗВОДСТВА    </w:t>
            </w:r>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r w:rsidRPr="00A47176">
              <w:rPr>
                <w:rFonts w:ascii="Times New Roman" w:eastAsia="Times New Roman" w:hAnsi="Times New Roman" w:cs="Times New Roman"/>
                <w:i/>
                <w:iCs/>
                <w:sz w:val="20"/>
                <w:szCs w:val="20"/>
                <w:lang w:eastAsia="ru-RU"/>
              </w:rPr>
              <w:t>чел.</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8F68ED">
              <w:rPr>
                <w:rFonts w:ascii="Times New Roman" w:hAnsi="Times New Roman" w:cs="Times New Roman"/>
                <w:color w:val="000000"/>
                <w:sz w:val="20"/>
                <w:szCs w:val="20"/>
              </w:rPr>
              <w:t>2 482</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2230</w:t>
            </w: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2 125</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F253F"/>
                <w:sz w:val="20"/>
                <w:szCs w:val="20"/>
                <w:lang w:eastAsia="ru-RU"/>
              </w:rPr>
            </w:pPr>
            <w:r w:rsidRPr="008F68ED">
              <w:rPr>
                <w:rFonts w:ascii="Times New Roman" w:hAnsi="Times New Roman" w:cs="Times New Roman"/>
                <w:color w:val="0F253F"/>
                <w:sz w:val="20"/>
                <w:szCs w:val="20"/>
              </w:rPr>
              <w:t>2 096</w:t>
            </w:r>
          </w:p>
        </w:tc>
      </w:tr>
      <w:tr w:rsidR="008F68ED" w:rsidRPr="00A47176" w:rsidTr="008F68ED">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2 245</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F253F"/>
                <w:sz w:val="20"/>
                <w:szCs w:val="20"/>
                <w:lang w:eastAsia="ru-RU"/>
              </w:rPr>
            </w:pPr>
            <w:r w:rsidRPr="008F68ED">
              <w:rPr>
                <w:rFonts w:ascii="Times New Roman" w:hAnsi="Times New Roman" w:cs="Times New Roman"/>
                <w:color w:val="0F253F"/>
                <w:sz w:val="20"/>
                <w:szCs w:val="20"/>
              </w:rPr>
              <w:t>2 254</w:t>
            </w:r>
          </w:p>
        </w:tc>
      </w:tr>
      <w:tr w:rsidR="008F68ED" w:rsidRPr="00A47176" w:rsidTr="008F68ED">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2 784</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F253F"/>
                <w:sz w:val="20"/>
                <w:szCs w:val="20"/>
                <w:lang w:eastAsia="ru-RU"/>
              </w:rPr>
            </w:pPr>
            <w:r w:rsidRPr="008F68ED">
              <w:rPr>
                <w:rFonts w:ascii="Times New Roman" w:hAnsi="Times New Roman" w:cs="Times New Roman"/>
                <w:color w:val="0F253F"/>
                <w:sz w:val="20"/>
                <w:szCs w:val="20"/>
              </w:rPr>
              <w:t>2 967</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Число субъектов малого и среднего предпринимательства в расчете на 10 тыс. человек населения</w:t>
            </w:r>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r w:rsidRPr="00A47176">
              <w:rPr>
                <w:rFonts w:ascii="Times New Roman" w:eastAsia="Times New Roman" w:hAnsi="Times New Roman" w:cs="Times New Roman"/>
                <w:i/>
                <w:iCs/>
                <w:sz w:val="20"/>
                <w:szCs w:val="20"/>
                <w:lang w:eastAsia="ru-RU"/>
              </w:rPr>
              <w:t>ед.</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8F68ED">
              <w:rPr>
                <w:rFonts w:ascii="Times New Roman" w:hAnsi="Times New Roman" w:cs="Times New Roman"/>
                <w:color w:val="000000"/>
                <w:sz w:val="20"/>
                <w:szCs w:val="20"/>
              </w:rPr>
              <w:t>224</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301</w:t>
            </w: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330,8</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375,3</w:t>
            </w:r>
          </w:p>
        </w:tc>
      </w:tr>
      <w:tr w:rsidR="008F68ED" w:rsidRPr="00A47176" w:rsidTr="008F68ED">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343,0</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392,4</w:t>
            </w:r>
          </w:p>
        </w:tc>
      </w:tr>
      <w:tr w:rsidR="008F68ED" w:rsidRPr="00A47176" w:rsidTr="008F68ED">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377,3</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431,6</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Объем инвестиций в основной капитал  (за исключением бюджетных средств) на душу населения</w:t>
            </w:r>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r w:rsidRPr="00A47176">
              <w:rPr>
                <w:rFonts w:ascii="Times New Roman" w:eastAsia="Times New Roman" w:hAnsi="Times New Roman" w:cs="Times New Roman"/>
                <w:i/>
                <w:iCs/>
                <w:sz w:val="20"/>
                <w:szCs w:val="20"/>
                <w:lang w:eastAsia="ru-RU"/>
              </w:rPr>
              <w:t>тыс. руб.</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8F68ED">
              <w:rPr>
                <w:rFonts w:ascii="Times New Roman" w:hAnsi="Times New Roman" w:cs="Times New Roman"/>
                <w:color w:val="000000"/>
                <w:sz w:val="20"/>
                <w:szCs w:val="20"/>
              </w:rPr>
              <w:t>21,27</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28,16</w:t>
            </w: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 xml:space="preserve">36,62   </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 xml:space="preserve">49,60   </w:t>
            </w:r>
          </w:p>
        </w:tc>
      </w:tr>
      <w:tr w:rsidR="008F68ED" w:rsidRPr="00A47176" w:rsidTr="008F68ED">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 xml:space="preserve">38,92   </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 xml:space="preserve">57,55   </w:t>
            </w:r>
          </w:p>
        </w:tc>
      </w:tr>
      <w:tr w:rsidR="008F68ED" w:rsidRPr="00A47176" w:rsidTr="008F68ED">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0A3419"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sidRPr="008F68ED">
              <w:rPr>
                <w:rFonts w:ascii="Times New Roman" w:hAnsi="Times New Roman" w:cs="Times New Roman"/>
                <w:color w:val="000000"/>
                <w:sz w:val="20"/>
                <w:szCs w:val="20"/>
              </w:rPr>
              <w:t xml:space="preserve">42,82   </w:t>
            </w:r>
          </w:p>
        </w:tc>
        <w:tc>
          <w:tcPr>
            <w:tcW w:w="365" w:type="pct"/>
            <w:shd w:val="clear" w:color="auto" w:fill="auto"/>
            <w:noWrap/>
            <w:hideMark/>
          </w:tcPr>
          <w:p w:rsidR="008F68ED" w:rsidRPr="000A3419"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sidRPr="008F68ED">
              <w:rPr>
                <w:rFonts w:ascii="Times New Roman" w:hAnsi="Times New Roman" w:cs="Times New Roman"/>
                <w:color w:val="000000"/>
                <w:sz w:val="20"/>
                <w:szCs w:val="20"/>
              </w:rPr>
              <w:t xml:space="preserve">63,31   </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Объем отгруженных товаров собственного производства, выполненных работ и услуг - в расчете на душу населения (январь-декабрь)</w:t>
            </w:r>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r w:rsidRPr="00A47176">
              <w:rPr>
                <w:rFonts w:ascii="Times New Roman" w:eastAsia="Times New Roman" w:hAnsi="Times New Roman" w:cs="Times New Roman"/>
                <w:i/>
                <w:iCs/>
                <w:sz w:val="20"/>
                <w:szCs w:val="20"/>
                <w:lang w:eastAsia="ru-RU"/>
              </w:rPr>
              <w:t>тыс. руб.</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8F68ED">
              <w:rPr>
                <w:rFonts w:ascii="Times New Roman" w:hAnsi="Times New Roman" w:cs="Times New Roman"/>
                <w:color w:val="000000"/>
                <w:sz w:val="20"/>
                <w:szCs w:val="20"/>
              </w:rPr>
              <w:t>200,68</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color w:val="000000"/>
                <w:sz w:val="20"/>
                <w:szCs w:val="20"/>
              </w:rPr>
              <w:t>229,07</w:t>
            </w: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236,2</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345,1</w:t>
            </w:r>
          </w:p>
        </w:tc>
      </w:tr>
      <w:tr w:rsidR="008F68ED" w:rsidRPr="00A47176" w:rsidTr="008F68ED">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277,1</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404,8</w:t>
            </w:r>
          </w:p>
        </w:tc>
      </w:tr>
      <w:tr w:rsidR="008F68ED" w:rsidRPr="00A47176" w:rsidTr="008F68ED">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326,0</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sidRPr="008F68ED">
              <w:rPr>
                <w:rFonts w:ascii="Times New Roman" w:hAnsi="Times New Roman" w:cs="Times New Roman"/>
                <w:sz w:val="20"/>
                <w:szCs w:val="20"/>
              </w:rPr>
              <w:t>476,2</w:t>
            </w:r>
          </w:p>
        </w:tc>
      </w:tr>
      <w:tr w:rsidR="00A47176" w:rsidRPr="00334F58" w:rsidTr="002A73FB">
        <w:trPr>
          <w:trHeight w:val="57"/>
        </w:trPr>
        <w:tc>
          <w:tcPr>
            <w:tcW w:w="5000" w:type="pct"/>
            <w:gridSpan w:val="7"/>
            <w:shd w:val="clear" w:color="auto" w:fill="auto"/>
            <w:hideMark/>
          </w:tcPr>
          <w:p w:rsidR="00A47176" w:rsidRPr="00334F58" w:rsidRDefault="00A47176" w:rsidP="00A47176">
            <w:pPr>
              <w:keepNext/>
              <w:keepLines/>
              <w:spacing w:after="0" w:line="240" w:lineRule="auto"/>
              <w:rPr>
                <w:rFonts w:ascii="Times New Roman" w:eastAsia="Times New Roman" w:hAnsi="Times New Roman" w:cs="Times New Roman"/>
                <w:b/>
                <w:bCs/>
                <w:color w:val="000000"/>
                <w:sz w:val="24"/>
                <w:szCs w:val="24"/>
                <w:lang w:eastAsia="ru-RU"/>
              </w:rPr>
            </w:pPr>
            <w:r w:rsidRPr="00334F58">
              <w:rPr>
                <w:rFonts w:ascii="Times New Roman" w:eastAsia="Times New Roman" w:hAnsi="Times New Roman" w:cs="Times New Roman"/>
                <w:b/>
                <w:color w:val="000000"/>
                <w:sz w:val="24"/>
                <w:szCs w:val="24"/>
                <w:lang w:eastAsia="ru-RU"/>
              </w:rPr>
              <w:t>Развитие АПК</w:t>
            </w:r>
          </w:p>
        </w:tc>
      </w:tr>
      <w:tr w:rsidR="008E1E70" w:rsidRPr="00A47176" w:rsidTr="008F68ED">
        <w:trPr>
          <w:trHeight w:val="57"/>
        </w:trPr>
        <w:tc>
          <w:tcPr>
            <w:tcW w:w="2868" w:type="pct"/>
            <w:vMerge w:val="restart"/>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color w:val="000000"/>
                <w:sz w:val="20"/>
                <w:szCs w:val="20"/>
                <w:lang w:eastAsia="ru-RU"/>
              </w:rPr>
            </w:pPr>
            <w:proofErr w:type="gramStart"/>
            <w:r w:rsidRPr="00A47176">
              <w:rPr>
                <w:rFonts w:ascii="Times New Roman" w:eastAsia="Times New Roman" w:hAnsi="Times New Roman" w:cs="Times New Roman"/>
                <w:color w:val="000000"/>
                <w:sz w:val="20"/>
                <w:szCs w:val="20"/>
                <w:lang w:eastAsia="ru-RU"/>
              </w:rPr>
              <w:t xml:space="preserve">Объем  отгруженных товаров собственного производства, выполненных работ и услуг  по </w:t>
            </w:r>
            <w:proofErr w:type="spellStart"/>
            <w:r w:rsidRPr="00A47176">
              <w:rPr>
                <w:rFonts w:ascii="Times New Roman" w:eastAsia="Times New Roman" w:hAnsi="Times New Roman" w:cs="Times New Roman"/>
                <w:color w:val="000000"/>
                <w:sz w:val="20"/>
                <w:szCs w:val="20"/>
                <w:lang w:eastAsia="ru-RU"/>
              </w:rPr>
              <w:t>организиям</w:t>
            </w:r>
            <w:proofErr w:type="spellEnd"/>
            <w:r w:rsidRPr="00A47176">
              <w:rPr>
                <w:rFonts w:ascii="Times New Roman" w:eastAsia="Times New Roman" w:hAnsi="Times New Roman" w:cs="Times New Roman"/>
                <w:color w:val="000000"/>
                <w:sz w:val="20"/>
                <w:szCs w:val="20"/>
                <w:lang w:eastAsia="ru-RU"/>
              </w:rPr>
              <w:t xml:space="preserve">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w:t>
            </w:r>
            <w:proofErr w:type="gramEnd"/>
          </w:p>
        </w:tc>
        <w:tc>
          <w:tcPr>
            <w:tcW w:w="259" w:type="pct"/>
            <w:vMerge w:val="restart"/>
            <w:shd w:val="clear" w:color="auto" w:fill="auto"/>
            <w:hideMark/>
          </w:tcPr>
          <w:p w:rsidR="008E1E70" w:rsidRPr="00A47176" w:rsidRDefault="008E1E70" w:rsidP="008E1E70">
            <w:pPr>
              <w:keepNext/>
              <w:keepLines/>
              <w:spacing w:after="0" w:line="240" w:lineRule="auto"/>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млн.</w:t>
            </w:r>
            <w:r w:rsidRPr="00A47176">
              <w:rPr>
                <w:rFonts w:ascii="Times New Roman" w:eastAsia="Times New Roman" w:hAnsi="Times New Roman" w:cs="Times New Roman"/>
                <w:i/>
                <w:iCs/>
                <w:color w:val="000000"/>
                <w:sz w:val="20"/>
                <w:szCs w:val="20"/>
                <w:lang w:eastAsia="ru-RU"/>
              </w:rPr>
              <w:t xml:space="preserve"> </w:t>
            </w:r>
            <w:proofErr w:type="spellStart"/>
            <w:r w:rsidRPr="00A47176">
              <w:rPr>
                <w:rFonts w:ascii="Times New Roman" w:eastAsia="Times New Roman" w:hAnsi="Times New Roman" w:cs="Times New Roman"/>
                <w:i/>
                <w:iCs/>
                <w:color w:val="000000"/>
                <w:sz w:val="20"/>
                <w:szCs w:val="20"/>
                <w:lang w:eastAsia="ru-RU"/>
              </w:rPr>
              <w:t>руб</w:t>
            </w:r>
            <w:proofErr w:type="spellEnd"/>
          </w:p>
        </w:tc>
        <w:tc>
          <w:tcPr>
            <w:tcW w:w="276" w:type="pct"/>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color w:val="006100"/>
                <w:sz w:val="20"/>
                <w:szCs w:val="20"/>
                <w:lang w:eastAsia="ru-RU"/>
              </w:rPr>
            </w:pPr>
            <w:r w:rsidRPr="00A47176">
              <w:rPr>
                <w:rFonts w:ascii="Times New Roman" w:eastAsia="Times New Roman" w:hAnsi="Times New Roman" w:cs="Times New Roman"/>
                <w:color w:val="006100"/>
                <w:sz w:val="20"/>
                <w:szCs w:val="20"/>
                <w:lang w:eastAsia="ru-RU"/>
              </w:rPr>
              <w:t>1</w:t>
            </w:r>
          </w:p>
        </w:tc>
        <w:tc>
          <w:tcPr>
            <w:tcW w:w="404" w:type="pct"/>
            <w:vMerge w:val="restart"/>
            <w:shd w:val="clear" w:color="auto" w:fill="auto"/>
            <w:noWrap/>
            <w:hideMark/>
          </w:tcPr>
          <w:p w:rsidR="008E1E70" w:rsidRPr="00A47176" w:rsidRDefault="008E1E70" w:rsidP="00A47176">
            <w:pPr>
              <w:keepNext/>
              <w:keepLines/>
              <w:spacing w:after="0" w:line="240" w:lineRule="auto"/>
              <w:rPr>
                <w:rFonts w:ascii="Times New Roman" w:eastAsia="Times New Roman" w:hAnsi="Times New Roman" w:cs="Times New Roman"/>
                <w:color w:val="000000"/>
                <w:sz w:val="20"/>
                <w:szCs w:val="20"/>
                <w:lang w:eastAsia="ru-RU"/>
              </w:rPr>
            </w:pPr>
            <w:r>
              <w:rPr>
                <w:color w:val="000000"/>
                <w:sz w:val="20"/>
                <w:szCs w:val="20"/>
              </w:rPr>
              <w:t>1 247</w:t>
            </w:r>
          </w:p>
        </w:tc>
        <w:tc>
          <w:tcPr>
            <w:tcW w:w="414" w:type="pct"/>
            <w:vMerge w:val="restart"/>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2 567</w:t>
            </w:r>
          </w:p>
        </w:tc>
        <w:tc>
          <w:tcPr>
            <w:tcW w:w="414" w:type="pct"/>
            <w:shd w:val="clear" w:color="auto" w:fill="auto"/>
            <w:hideMark/>
          </w:tcPr>
          <w:p w:rsidR="008E1E70" w:rsidRPr="008E1E70" w:rsidRDefault="008E1E70" w:rsidP="008E1E70">
            <w:pPr>
              <w:keepNext/>
              <w:keepLines/>
              <w:spacing w:after="0" w:line="240" w:lineRule="auto"/>
              <w:rPr>
                <w:color w:val="000000"/>
                <w:sz w:val="20"/>
                <w:szCs w:val="20"/>
              </w:rPr>
            </w:pPr>
            <w:r w:rsidRPr="008E1E70">
              <w:rPr>
                <w:color w:val="000000"/>
                <w:sz w:val="20"/>
                <w:szCs w:val="20"/>
              </w:rPr>
              <w:t>3 649</w:t>
            </w:r>
          </w:p>
        </w:tc>
        <w:tc>
          <w:tcPr>
            <w:tcW w:w="365" w:type="pct"/>
            <w:shd w:val="clear" w:color="auto" w:fill="auto"/>
            <w:noWrap/>
            <w:hideMark/>
          </w:tcPr>
          <w:p w:rsidR="008E1E70" w:rsidRPr="008E1E70" w:rsidRDefault="008E1E70" w:rsidP="008E1E70">
            <w:pPr>
              <w:keepNext/>
              <w:keepLines/>
              <w:spacing w:after="0" w:line="240" w:lineRule="auto"/>
              <w:rPr>
                <w:color w:val="000000"/>
                <w:sz w:val="20"/>
                <w:szCs w:val="20"/>
              </w:rPr>
            </w:pPr>
            <w:r w:rsidRPr="008E1E70">
              <w:rPr>
                <w:color w:val="000000"/>
                <w:sz w:val="20"/>
                <w:szCs w:val="20"/>
              </w:rPr>
              <w:t>3 756</w:t>
            </w:r>
          </w:p>
        </w:tc>
      </w:tr>
      <w:tr w:rsidR="008E1E70" w:rsidRPr="00A47176" w:rsidTr="0062191C">
        <w:trPr>
          <w:trHeight w:val="57"/>
        </w:trPr>
        <w:tc>
          <w:tcPr>
            <w:tcW w:w="2868" w:type="pct"/>
            <w:vMerge/>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color w:val="006100"/>
                <w:sz w:val="20"/>
                <w:szCs w:val="20"/>
                <w:lang w:eastAsia="ru-RU"/>
              </w:rPr>
            </w:pPr>
            <w:r w:rsidRPr="00A47176">
              <w:rPr>
                <w:rFonts w:ascii="Times New Roman" w:eastAsia="Times New Roman" w:hAnsi="Times New Roman" w:cs="Times New Roman"/>
                <w:color w:val="006100"/>
                <w:sz w:val="20"/>
                <w:szCs w:val="20"/>
                <w:lang w:eastAsia="ru-RU"/>
              </w:rPr>
              <w:t>2</w:t>
            </w:r>
          </w:p>
        </w:tc>
        <w:tc>
          <w:tcPr>
            <w:tcW w:w="404" w:type="pct"/>
            <w:vMerge/>
            <w:shd w:val="clear" w:color="auto" w:fill="auto"/>
            <w:vAlign w:val="center"/>
            <w:hideMark/>
          </w:tcPr>
          <w:p w:rsidR="008E1E70" w:rsidRPr="00A47176" w:rsidRDefault="008E1E7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E1E70" w:rsidRPr="00A47176" w:rsidRDefault="008E1E70"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E1E70" w:rsidRPr="008E1E70" w:rsidRDefault="008E1E70" w:rsidP="008E1E70">
            <w:pPr>
              <w:keepNext/>
              <w:keepLines/>
              <w:spacing w:after="0" w:line="240" w:lineRule="auto"/>
              <w:rPr>
                <w:color w:val="000000"/>
                <w:sz w:val="20"/>
                <w:szCs w:val="20"/>
              </w:rPr>
            </w:pPr>
            <w:r w:rsidRPr="008E1E70">
              <w:rPr>
                <w:color w:val="000000"/>
                <w:sz w:val="20"/>
                <w:szCs w:val="20"/>
              </w:rPr>
              <w:t>3 723</w:t>
            </w:r>
          </w:p>
        </w:tc>
        <w:tc>
          <w:tcPr>
            <w:tcW w:w="365" w:type="pct"/>
            <w:shd w:val="clear" w:color="auto" w:fill="auto"/>
            <w:noWrap/>
            <w:hideMark/>
          </w:tcPr>
          <w:p w:rsidR="008E1E70" w:rsidRPr="008E1E70" w:rsidRDefault="008E1E70" w:rsidP="008E1E70">
            <w:pPr>
              <w:keepNext/>
              <w:keepLines/>
              <w:spacing w:after="0" w:line="240" w:lineRule="auto"/>
              <w:rPr>
                <w:color w:val="000000"/>
                <w:sz w:val="20"/>
                <w:szCs w:val="20"/>
              </w:rPr>
            </w:pPr>
            <w:r w:rsidRPr="008E1E70">
              <w:rPr>
                <w:color w:val="000000"/>
                <w:sz w:val="20"/>
                <w:szCs w:val="20"/>
              </w:rPr>
              <w:t>4 766</w:t>
            </w:r>
          </w:p>
        </w:tc>
      </w:tr>
      <w:tr w:rsidR="008E1E70" w:rsidRPr="00A47176" w:rsidTr="0062191C">
        <w:trPr>
          <w:trHeight w:val="57"/>
        </w:trPr>
        <w:tc>
          <w:tcPr>
            <w:tcW w:w="2868" w:type="pct"/>
            <w:vMerge/>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E1E70" w:rsidRPr="00A47176" w:rsidRDefault="008E1E70" w:rsidP="00A47176">
            <w:pPr>
              <w:keepNext/>
              <w:keepLines/>
              <w:spacing w:after="0" w:line="240" w:lineRule="auto"/>
              <w:rPr>
                <w:rFonts w:ascii="Times New Roman" w:eastAsia="Times New Roman" w:hAnsi="Times New Roman" w:cs="Times New Roman"/>
                <w:color w:val="006100"/>
                <w:sz w:val="20"/>
                <w:szCs w:val="20"/>
                <w:lang w:eastAsia="ru-RU"/>
              </w:rPr>
            </w:pPr>
            <w:r w:rsidRPr="00A47176">
              <w:rPr>
                <w:rFonts w:ascii="Times New Roman" w:eastAsia="Times New Roman" w:hAnsi="Times New Roman" w:cs="Times New Roman"/>
                <w:color w:val="006100"/>
                <w:sz w:val="20"/>
                <w:szCs w:val="20"/>
                <w:lang w:eastAsia="ru-RU"/>
              </w:rPr>
              <w:t>3</w:t>
            </w:r>
          </w:p>
        </w:tc>
        <w:tc>
          <w:tcPr>
            <w:tcW w:w="404" w:type="pct"/>
            <w:vMerge/>
            <w:shd w:val="clear" w:color="auto" w:fill="auto"/>
            <w:vAlign w:val="center"/>
            <w:hideMark/>
          </w:tcPr>
          <w:p w:rsidR="008E1E70" w:rsidRPr="00A47176" w:rsidRDefault="008E1E7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E1E70" w:rsidRPr="00A47176" w:rsidRDefault="008E1E70"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E1E70" w:rsidRPr="008E1E70" w:rsidRDefault="008E1E70" w:rsidP="008E1E70">
            <w:pPr>
              <w:keepNext/>
              <w:keepLines/>
              <w:spacing w:after="0" w:line="240" w:lineRule="auto"/>
              <w:rPr>
                <w:color w:val="000000"/>
                <w:sz w:val="20"/>
                <w:szCs w:val="20"/>
              </w:rPr>
            </w:pPr>
            <w:r w:rsidRPr="008E1E70">
              <w:rPr>
                <w:color w:val="000000"/>
                <w:sz w:val="20"/>
                <w:szCs w:val="20"/>
              </w:rPr>
              <w:t>4 112</w:t>
            </w:r>
          </w:p>
        </w:tc>
        <w:tc>
          <w:tcPr>
            <w:tcW w:w="365" w:type="pct"/>
            <w:shd w:val="clear" w:color="auto" w:fill="auto"/>
            <w:noWrap/>
            <w:hideMark/>
          </w:tcPr>
          <w:p w:rsidR="008E1E70" w:rsidRPr="008E1E70" w:rsidRDefault="008E1E70" w:rsidP="008E1E70">
            <w:pPr>
              <w:keepNext/>
              <w:keepLines/>
              <w:spacing w:after="0" w:line="240" w:lineRule="auto"/>
              <w:rPr>
                <w:color w:val="000000"/>
                <w:sz w:val="20"/>
                <w:szCs w:val="20"/>
              </w:rPr>
            </w:pPr>
            <w:r w:rsidRPr="008E1E70">
              <w:rPr>
                <w:color w:val="000000"/>
                <w:sz w:val="20"/>
                <w:szCs w:val="20"/>
              </w:rPr>
              <w:t>5 243</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roofErr w:type="gramStart"/>
            <w:r w:rsidRPr="00A47176">
              <w:rPr>
                <w:rFonts w:ascii="Times New Roman" w:eastAsia="Times New Roman" w:hAnsi="Times New Roman" w:cs="Times New Roman"/>
                <w:color w:val="000000"/>
                <w:sz w:val="20"/>
                <w:szCs w:val="20"/>
                <w:lang w:eastAsia="ru-RU"/>
              </w:rPr>
              <w:t>Объем инвестиций в основной капитал предприятий сельского хозяйства, не относящимся к субъектам малого предпринимательства (включая средние предприятия), средняя численность работников которых превышает 15 человек (за исключением бюджетных средств)</w:t>
            </w:r>
            <w:proofErr w:type="gramEnd"/>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r w:rsidRPr="00A47176">
              <w:rPr>
                <w:rFonts w:ascii="Times New Roman" w:eastAsia="Times New Roman" w:hAnsi="Times New Roman" w:cs="Times New Roman"/>
                <w:i/>
                <w:iCs/>
                <w:color w:val="000000"/>
                <w:sz w:val="20"/>
                <w:szCs w:val="20"/>
                <w:lang w:eastAsia="ru-RU"/>
              </w:rPr>
              <w:t>тыс</w:t>
            </w:r>
            <w:proofErr w:type="gramStart"/>
            <w:r w:rsidRPr="00A47176">
              <w:rPr>
                <w:rFonts w:ascii="Times New Roman" w:eastAsia="Times New Roman" w:hAnsi="Times New Roman" w:cs="Times New Roman"/>
                <w:i/>
                <w:iCs/>
                <w:color w:val="000000"/>
                <w:sz w:val="20"/>
                <w:szCs w:val="20"/>
                <w:lang w:eastAsia="ru-RU"/>
              </w:rPr>
              <w:t>.р</w:t>
            </w:r>
            <w:proofErr w:type="gramEnd"/>
            <w:r w:rsidRPr="00A47176">
              <w:rPr>
                <w:rFonts w:ascii="Times New Roman" w:eastAsia="Times New Roman" w:hAnsi="Times New Roman" w:cs="Times New Roman"/>
                <w:i/>
                <w:iCs/>
                <w:color w:val="000000"/>
                <w:sz w:val="20"/>
                <w:szCs w:val="20"/>
                <w:lang w:eastAsia="ru-RU"/>
              </w:rPr>
              <w:t>уб.</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A47176">
              <w:rPr>
                <w:rFonts w:ascii="Times New Roman" w:eastAsia="Times New Roman" w:hAnsi="Times New Roman" w:cs="Times New Roman"/>
                <w:color w:val="006100"/>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Pr>
                <w:color w:val="000000"/>
                <w:sz w:val="20"/>
                <w:szCs w:val="20"/>
              </w:rPr>
              <w:t>269 222</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1 045 583</w:t>
            </w: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 xml:space="preserve">460 105   </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 xml:space="preserve">578 854   </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A47176">
              <w:rPr>
                <w:rFonts w:ascii="Times New Roman" w:eastAsia="Times New Roman" w:hAnsi="Times New Roman" w:cs="Times New Roman"/>
                <w:color w:val="006100"/>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 xml:space="preserve">484 120   </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 xml:space="preserve">736 860   </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A47176">
              <w:rPr>
                <w:rFonts w:ascii="Times New Roman" w:eastAsia="Times New Roman" w:hAnsi="Times New Roman" w:cs="Times New Roman"/>
                <w:color w:val="006100"/>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 xml:space="preserve">580 944   </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 xml:space="preserve">884 232   </w:t>
            </w:r>
          </w:p>
        </w:tc>
      </w:tr>
      <w:tr w:rsidR="008F68ED" w:rsidRPr="00A47176" w:rsidTr="008F68ED">
        <w:trPr>
          <w:trHeight w:val="57"/>
        </w:trPr>
        <w:tc>
          <w:tcPr>
            <w:tcW w:w="2868" w:type="pct"/>
            <w:vMerge w:val="restart"/>
            <w:shd w:val="clear" w:color="auto" w:fill="auto"/>
            <w:hideMark/>
          </w:tcPr>
          <w:p w:rsidR="008F68ED" w:rsidRPr="0098693F" w:rsidRDefault="008F68ED" w:rsidP="008F68ED">
            <w:pPr>
              <w:keepNext/>
              <w:keepLines/>
              <w:spacing w:after="0" w:line="240" w:lineRule="auto"/>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t xml:space="preserve">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w:t>
            </w:r>
            <w:r w:rsidRPr="0098693F">
              <w:rPr>
                <w:rFonts w:ascii="Times New Roman" w:eastAsia="Times New Roman" w:hAnsi="Times New Roman" w:cs="Times New Roman"/>
                <w:color w:val="000000"/>
                <w:sz w:val="20"/>
                <w:szCs w:val="20"/>
                <w:lang w:eastAsia="ru-RU"/>
              </w:rPr>
              <w:lastRenderedPageBreak/>
              <w:t>работников которых превышает 15 человек, за январь-декабрь (чистый ОКВЭД) СЕЛЬСКОЕ ХОЗЯЙСТВО</w:t>
            </w:r>
          </w:p>
        </w:tc>
        <w:tc>
          <w:tcPr>
            <w:tcW w:w="259" w:type="pct"/>
            <w:vMerge w:val="restart"/>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r w:rsidRPr="0098693F">
              <w:rPr>
                <w:rFonts w:ascii="Times New Roman" w:eastAsia="Times New Roman" w:hAnsi="Times New Roman" w:cs="Times New Roman"/>
                <w:i/>
                <w:iCs/>
                <w:color w:val="000000"/>
                <w:sz w:val="20"/>
                <w:szCs w:val="20"/>
                <w:lang w:eastAsia="ru-RU"/>
              </w:rPr>
              <w:lastRenderedPageBreak/>
              <w:t>руб.</w:t>
            </w:r>
          </w:p>
        </w:tc>
        <w:tc>
          <w:tcPr>
            <w:tcW w:w="276" w:type="pct"/>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98693F">
              <w:rPr>
                <w:rFonts w:ascii="Times New Roman" w:eastAsia="Times New Roman" w:hAnsi="Times New Roman" w:cs="Times New Roman"/>
                <w:color w:val="006100"/>
                <w:sz w:val="20"/>
                <w:szCs w:val="20"/>
                <w:lang w:eastAsia="ru-RU"/>
              </w:rPr>
              <w:t>1</w:t>
            </w:r>
          </w:p>
        </w:tc>
        <w:tc>
          <w:tcPr>
            <w:tcW w:w="404" w:type="pct"/>
            <w:vMerge w:val="restart"/>
            <w:shd w:val="clear" w:color="auto" w:fill="auto"/>
            <w:noWrap/>
            <w:hideMark/>
          </w:tcPr>
          <w:p w:rsidR="008F68ED" w:rsidRPr="0098693F"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color w:val="000000"/>
                <w:sz w:val="20"/>
                <w:szCs w:val="20"/>
              </w:rPr>
              <w:t>26 649</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36 233</w:t>
            </w: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46 652</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61 904</w:t>
            </w:r>
          </w:p>
        </w:tc>
      </w:tr>
      <w:tr w:rsidR="008F68ED" w:rsidRPr="00A47176" w:rsidTr="0062191C">
        <w:trPr>
          <w:trHeight w:val="57"/>
        </w:trPr>
        <w:tc>
          <w:tcPr>
            <w:tcW w:w="2868" w:type="pct"/>
            <w:vMerge/>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98693F">
              <w:rPr>
                <w:rFonts w:ascii="Times New Roman" w:eastAsia="Times New Roman" w:hAnsi="Times New Roman" w:cs="Times New Roman"/>
                <w:color w:val="006100"/>
                <w:sz w:val="20"/>
                <w:szCs w:val="20"/>
                <w:lang w:eastAsia="ru-RU"/>
              </w:rPr>
              <w:t>2</w:t>
            </w:r>
          </w:p>
        </w:tc>
        <w:tc>
          <w:tcPr>
            <w:tcW w:w="404" w:type="pct"/>
            <w:vMerge/>
            <w:shd w:val="clear" w:color="auto" w:fill="auto"/>
            <w:vAlign w:val="center"/>
            <w:hideMark/>
          </w:tcPr>
          <w:p w:rsidR="008F68ED" w:rsidRPr="0098693F"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48 596</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63 168</w:t>
            </w:r>
          </w:p>
        </w:tc>
      </w:tr>
      <w:tr w:rsidR="008F68ED" w:rsidRPr="00A47176" w:rsidTr="0062191C">
        <w:trPr>
          <w:trHeight w:val="57"/>
        </w:trPr>
        <w:tc>
          <w:tcPr>
            <w:tcW w:w="2868" w:type="pct"/>
            <w:vMerge/>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98693F">
              <w:rPr>
                <w:rFonts w:ascii="Times New Roman" w:eastAsia="Times New Roman" w:hAnsi="Times New Roman" w:cs="Times New Roman"/>
                <w:color w:val="006100"/>
                <w:sz w:val="20"/>
                <w:szCs w:val="20"/>
                <w:lang w:eastAsia="ru-RU"/>
              </w:rPr>
              <w:t>3</w:t>
            </w:r>
          </w:p>
        </w:tc>
        <w:tc>
          <w:tcPr>
            <w:tcW w:w="404" w:type="pct"/>
            <w:vMerge/>
            <w:shd w:val="clear" w:color="auto" w:fill="auto"/>
            <w:vAlign w:val="center"/>
            <w:hideMark/>
          </w:tcPr>
          <w:p w:rsidR="008F68ED" w:rsidRPr="0098693F"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54 428</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70 748</w:t>
            </w:r>
          </w:p>
        </w:tc>
      </w:tr>
      <w:tr w:rsidR="00EF5199" w:rsidRPr="00A47176" w:rsidTr="008F68ED">
        <w:trPr>
          <w:trHeight w:val="57"/>
        </w:trPr>
        <w:tc>
          <w:tcPr>
            <w:tcW w:w="2868" w:type="pct"/>
            <w:vMerge w:val="restart"/>
            <w:shd w:val="clear" w:color="auto" w:fill="auto"/>
            <w:hideMark/>
          </w:tcPr>
          <w:p w:rsidR="00EF5199" w:rsidRPr="0098693F" w:rsidRDefault="00EF5199" w:rsidP="008F68ED">
            <w:pPr>
              <w:keepNext/>
              <w:keepLines/>
              <w:spacing w:after="0" w:line="240" w:lineRule="auto"/>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lastRenderedPageBreak/>
              <w:t xml:space="preserve">Индекс производства продукции сельского хозяйства (в хозяйствах всех категорий) </w:t>
            </w:r>
          </w:p>
        </w:tc>
        <w:tc>
          <w:tcPr>
            <w:tcW w:w="259" w:type="pct"/>
            <w:vMerge w:val="restart"/>
            <w:shd w:val="clear" w:color="auto" w:fill="auto"/>
            <w:hideMark/>
          </w:tcPr>
          <w:p w:rsidR="00EF5199" w:rsidRPr="0098693F" w:rsidRDefault="00EF5199" w:rsidP="00A47176">
            <w:pPr>
              <w:keepNext/>
              <w:keepLines/>
              <w:spacing w:after="0" w:line="240" w:lineRule="auto"/>
              <w:rPr>
                <w:rFonts w:ascii="Times New Roman" w:eastAsia="Times New Roman" w:hAnsi="Times New Roman" w:cs="Times New Roman"/>
                <w:i/>
                <w:iCs/>
                <w:color w:val="000000"/>
                <w:sz w:val="20"/>
                <w:szCs w:val="20"/>
                <w:lang w:eastAsia="ru-RU"/>
              </w:rPr>
            </w:pPr>
            <w:r w:rsidRPr="0098693F">
              <w:rPr>
                <w:rFonts w:ascii="Times New Roman" w:eastAsia="Times New Roman" w:hAnsi="Times New Roman" w:cs="Times New Roman"/>
                <w:i/>
                <w:iCs/>
                <w:color w:val="000000"/>
                <w:sz w:val="20"/>
                <w:szCs w:val="20"/>
                <w:lang w:eastAsia="ru-RU"/>
              </w:rPr>
              <w:t>%</w:t>
            </w:r>
          </w:p>
        </w:tc>
        <w:tc>
          <w:tcPr>
            <w:tcW w:w="276" w:type="pct"/>
            <w:shd w:val="clear" w:color="auto" w:fill="auto"/>
            <w:hideMark/>
          </w:tcPr>
          <w:p w:rsidR="00EF5199" w:rsidRPr="0098693F" w:rsidRDefault="00EF5199" w:rsidP="00A47176">
            <w:pPr>
              <w:keepNext/>
              <w:keepLines/>
              <w:spacing w:after="0" w:line="240" w:lineRule="auto"/>
              <w:rPr>
                <w:rFonts w:ascii="Times New Roman" w:eastAsia="Times New Roman" w:hAnsi="Times New Roman" w:cs="Times New Roman"/>
                <w:color w:val="006100"/>
                <w:sz w:val="20"/>
                <w:szCs w:val="20"/>
                <w:lang w:eastAsia="ru-RU"/>
              </w:rPr>
            </w:pPr>
            <w:r w:rsidRPr="0098693F">
              <w:rPr>
                <w:rFonts w:ascii="Times New Roman" w:eastAsia="Times New Roman" w:hAnsi="Times New Roman" w:cs="Times New Roman"/>
                <w:color w:val="006100"/>
                <w:sz w:val="20"/>
                <w:szCs w:val="20"/>
                <w:lang w:eastAsia="ru-RU"/>
              </w:rPr>
              <w:t>1</w:t>
            </w:r>
          </w:p>
        </w:tc>
        <w:tc>
          <w:tcPr>
            <w:tcW w:w="404" w:type="pct"/>
            <w:vMerge w:val="restart"/>
            <w:shd w:val="clear" w:color="auto" w:fill="auto"/>
            <w:noWrap/>
            <w:hideMark/>
          </w:tcPr>
          <w:p w:rsidR="00EF5199" w:rsidRPr="0098693F" w:rsidRDefault="00EF5199"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color w:val="000000"/>
                <w:sz w:val="20"/>
                <w:szCs w:val="20"/>
              </w:rPr>
              <w:t>104</w:t>
            </w:r>
          </w:p>
        </w:tc>
        <w:tc>
          <w:tcPr>
            <w:tcW w:w="414" w:type="pct"/>
            <w:vMerge w:val="restart"/>
            <w:shd w:val="clear" w:color="auto" w:fill="auto"/>
            <w:hideMark/>
          </w:tcPr>
          <w:p w:rsidR="00EF5199" w:rsidRPr="003E1ED2" w:rsidRDefault="00EF5199"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Pr>
                <w:color w:val="000000"/>
                <w:sz w:val="20"/>
                <w:szCs w:val="20"/>
              </w:rPr>
              <w:t>101,1</w:t>
            </w:r>
          </w:p>
        </w:tc>
        <w:tc>
          <w:tcPr>
            <w:tcW w:w="414" w:type="pct"/>
            <w:shd w:val="clear" w:color="auto" w:fill="auto"/>
            <w:hideMark/>
          </w:tcPr>
          <w:p w:rsidR="00EF5199" w:rsidRPr="00EF5199" w:rsidRDefault="00EF5199" w:rsidP="00EF5199">
            <w:pPr>
              <w:keepNext/>
              <w:keepLines/>
              <w:spacing w:after="0" w:line="240" w:lineRule="auto"/>
              <w:rPr>
                <w:color w:val="000000"/>
                <w:sz w:val="20"/>
                <w:szCs w:val="20"/>
              </w:rPr>
            </w:pPr>
            <w:r w:rsidRPr="00EF5199">
              <w:rPr>
                <w:color w:val="000000"/>
                <w:sz w:val="20"/>
                <w:szCs w:val="20"/>
              </w:rPr>
              <w:t>104,6</w:t>
            </w:r>
          </w:p>
        </w:tc>
        <w:tc>
          <w:tcPr>
            <w:tcW w:w="365" w:type="pct"/>
            <w:shd w:val="clear" w:color="auto" w:fill="auto"/>
            <w:noWrap/>
            <w:hideMark/>
          </w:tcPr>
          <w:p w:rsidR="00EF5199" w:rsidRPr="00EF5199" w:rsidRDefault="00EF5199" w:rsidP="00EF5199">
            <w:pPr>
              <w:keepNext/>
              <w:keepLines/>
              <w:spacing w:after="0" w:line="240" w:lineRule="auto"/>
              <w:rPr>
                <w:color w:val="000000"/>
                <w:sz w:val="20"/>
                <w:szCs w:val="20"/>
              </w:rPr>
            </w:pPr>
            <w:r w:rsidRPr="00EF5199">
              <w:rPr>
                <w:color w:val="000000"/>
                <w:sz w:val="20"/>
                <w:szCs w:val="20"/>
              </w:rPr>
              <w:t>106,8</w:t>
            </w:r>
          </w:p>
        </w:tc>
      </w:tr>
      <w:tr w:rsidR="00EF5199" w:rsidRPr="00A47176" w:rsidTr="0062191C">
        <w:trPr>
          <w:trHeight w:val="57"/>
        </w:trPr>
        <w:tc>
          <w:tcPr>
            <w:tcW w:w="2868" w:type="pct"/>
            <w:vMerge/>
            <w:shd w:val="clear" w:color="auto" w:fill="auto"/>
            <w:hideMark/>
          </w:tcPr>
          <w:p w:rsidR="00EF5199" w:rsidRPr="0098693F" w:rsidRDefault="00EF5199"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EF5199" w:rsidRPr="0098693F" w:rsidRDefault="00EF5199"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EF5199" w:rsidRPr="0098693F" w:rsidRDefault="00EF5199" w:rsidP="00A47176">
            <w:pPr>
              <w:keepNext/>
              <w:keepLines/>
              <w:spacing w:after="0" w:line="240" w:lineRule="auto"/>
              <w:rPr>
                <w:rFonts w:ascii="Times New Roman" w:eastAsia="Times New Roman" w:hAnsi="Times New Roman" w:cs="Times New Roman"/>
                <w:color w:val="006100"/>
                <w:sz w:val="20"/>
                <w:szCs w:val="20"/>
                <w:lang w:eastAsia="ru-RU"/>
              </w:rPr>
            </w:pPr>
            <w:r w:rsidRPr="0098693F">
              <w:rPr>
                <w:rFonts w:ascii="Times New Roman" w:eastAsia="Times New Roman" w:hAnsi="Times New Roman" w:cs="Times New Roman"/>
                <w:color w:val="006100"/>
                <w:sz w:val="20"/>
                <w:szCs w:val="20"/>
                <w:lang w:eastAsia="ru-RU"/>
              </w:rPr>
              <w:t>2</w:t>
            </w:r>
          </w:p>
        </w:tc>
        <w:tc>
          <w:tcPr>
            <w:tcW w:w="404" w:type="pct"/>
            <w:vMerge/>
            <w:shd w:val="clear" w:color="auto" w:fill="auto"/>
            <w:vAlign w:val="center"/>
            <w:hideMark/>
          </w:tcPr>
          <w:p w:rsidR="00EF5199" w:rsidRPr="0098693F" w:rsidRDefault="00EF5199"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EF5199" w:rsidRPr="00A47176" w:rsidRDefault="00EF5199"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EF5199" w:rsidRPr="00EF5199" w:rsidRDefault="00EF5199" w:rsidP="00EF5199">
            <w:pPr>
              <w:keepNext/>
              <w:keepLines/>
              <w:spacing w:after="0" w:line="240" w:lineRule="auto"/>
              <w:rPr>
                <w:color w:val="000000"/>
                <w:sz w:val="20"/>
                <w:szCs w:val="20"/>
              </w:rPr>
            </w:pPr>
            <w:r w:rsidRPr="00EF5199">
              <w:rPr>
                <w:color w:val="000000"/>
                <w:sz w:val="20"/>
                <w:szCs w:val="20"/>
              </w:rPr>
              <w:t>106,7</w:t>
            </w:r>
          </w:p>
        </w:tc>
        <w:tc>
          <w:tcPr>
            <w:tcW w:w="365" w:type="pct"/>
            <w:shd w:val="clear" w:color="auto" w:fill="auto"/>
            <w:noWrap/>
            <w:hideMark/>
          </w:tcPr>
          <w:p w:rsidR="00EF5199" w:rsidRPr="00EF5199" w:rsidRDefault="00EF5199" w:rsidP="00EF5199">
            <w:pPr>
              <w:keepNext/>
              <w:keepLines/>
              <w:spacing w:after="0" w:line="240" w:lineRule="auto"/>
              <w:rPr>
                <w:color w:val="000000"/>
                <w:sz w:val="20"/>
                <w:szCs w:val="20"/>
              </w:rPr>
            </w:pPr>
            <w:r w:rsidRPr="00EF5199">
              <w:rPr>
                <w:color w:val="000000"/>
                <w:sz w:val="20"/>
                <w:szCs w:val="20"/>
              </w:rPr>
              <w:t>109,6</w:t>
            </w:r>
          </w:p>
        </w:tc>
      </w:tr>
      <w:tr w:rsidR="00EF5199" w:rsidRPr="00A47176" w:rsidTr="0062191C">
        <w:trPr>
          <w:trHeight w:val="57"/>
        </w:trPr>
        <w:tc>
          <w:tcPr>
            <w:tcW w:w="2868" w:type="pct"/>
            <w:vMerge/>
            <w:shd w:val="clear" w:color="auto" w:fill="auto"/>
            <w:hideMark/>
          </w:tcPr>
          <w:p w:rsidR="00EF5199" w:rsidRPr="0098693F" w:rsidRDefault="00EF5199"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EF5199" w:rsidRPr="0098693F" w:rsidRDefault="00EF5199"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EF5199" w:rsidRPr="0098693F" w:rsidRDefault="00EF5199" w:rsidP="00A47176">
            <w:pPr>
              <w:keepNext/>
              <w:keepLines/>
              <w:spacing w:after="0" w:line="240" w:lineRule="auto"/>
              <w:rPr>
                <w:rFonts w:ascii="Times New Roman" w:eastAsia="Times New Roman" w:hAnsi="Times New Roman" w:cs="Times New Roman"/>
                <w:color w:val="006100"/>
                <w:sz w:val="20"/>
                <w:szCs w:val="20"/>
                <w:lang w:eastAsia="ru-RU"/>
              </w:rPr>
            </w:pPr>
            <w:r w:rsidRPr="0098693F">
              <w:rPr>
                <w:rFonts w:ascii="Times New Roman" w:eastAsia="Times New Roman" w:hAnsi="Times New Roman" w:cs="Times New Roman"/>
                <w:color w:val="006100"/>
                <w:sz w:val="20"/>
                <w:szCs w:val="20"/>
                <w:lang w:eastAsia="ru-RU"/>
              </w:rPr>
              <w:t>3</w:t>
            </w:r>
          </w:p>
        </w:tc>
        <w:tc>
          <w:tcPr>
            <w:tcW w:w="404" w:type="pct"/>
            <w:vMerge/>
            <w:shd w:val="clear" w:color="auto" w:fill="auto"/>
            <w:vAlign w:val="center"/>
            <w:hideMark/>
          </w:tcPr>
          <w:p w:rsidR="00EF5199" w:rsidRPr="0098693F" w:rsidRDefault="00EF5199"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EF5199" w:rsidRPr="00A47176" w:rsidRDefault="00EF5199"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EF5199" w:rsidRPr="00EF5199" w:rsidRDefault="00EF5199" w:rsidP="00EF5199">
            <w:pPr>
              <w:keepNext/>
              <w:keepLines/>
              <w:spacing w:after="0" w:line="240" w:lineRule="auto"/>
              <w:rPr>
                <w:color w:val="000000"/>
                <w:sz w:val="20"/>
                <w:szCs w:val="20"/>
              </w:rPr>
            </w:pPr>
            <w:r w:rsidRPr="00EF5199">
              <w:rPr>
                <w:color w:val="000000"/>
                <w:sz w:val="20"/>
                <w:szCs w:val="20"/>
              </w:rPr>
              <w:t>108,3</w:t>
            </w:r>
          </w:p>
        </w:tc>
        <w:tc>
          <w:tcPr>
            <w:tcW w:w="365" w:type="pct"/>
            <w:shd w:val="clear" w:color="auto" w:fill="auto"/>
            <w:noWrap/>
            <w:hideMark/>
          </w:tcPr>
          <w:p w:rsidR="00EF5199" w:rsidRPr="00EF5199" w:rsidRDefault="00EF5199" w:rsidP="00EF5199">
            <w:pPr>
              <w:keepNext/>
              <w:keepLines/>
              <w:spacing w:after="0" w:line="240" w:lineRule="auto"/>
              <w:rPr>
                <w:color w:val="000000"/>
                <w:sz w:val="20"/>
                <w:szCs w:val="20"/>
              </w:rPr>
            </w:pPr>
            <w:r w:rsidRPr="00EF5199">
              <w:rPr>
                <w:color w:val="000000"/>
                <w:sz w:val="20"/>
                <w:szCs w:val="20"/>
              </w:rPr>
              <w:t>112,0</w:t>
            </w:r>
          </w:p>
        </w:tc>
      </w:tr>
      <w:tr w:rsidR="008F68ED" w:rsidRPr="00A47176" w:rsidTr="008F68ED">
        <w:trPr>
          <w:trHeight w:val="57"/>
        </w:trPr>
        <w:tc>
          <w:tcPr>
            <w:tcW w:w="2868" w:type="pct"/>
            <w:vMerge w:val="restart"/>
            <w:shd w:val="clear" w:color="auto" w:fill="auto"/>
            <w:hideMark/>
          </w:tcPr>
          <w:p w:rsidR="008F68ED" w:rsidRPr="0098693F" w:rsidRDefault="008F68ED" w:rsidP="008F68ED">
            <w:pPr>
              <w:keepNext/>
              <w:keepLines/>
              <w:spacing w:after="0" w:line="240" w:lineRule="auto"/>
              <w:rPr>
                <w:rFonts w:ascii="Times New Roman" w:eastAsia="Times New Roman" w:hAnsi="Times New Roman" w:cs="Times New Roman"/>
                <w:color w:val="000000"/>
                <w:sz w:val="20"/>
                <w:szCs w:val="20"/>
                <w:lang w:eastAsia="ru-RU"/>
              </w:rPr>
            </w:pPr>
            <w:proofErr w:type="gramStart"/>
            <w:r w:rsidRPr="0098693F">
              <w:rPr>
                <w:rFonts w:ascii="Times New Roman" w:eastAsia="Times New Roman" w:hAnsi="Times New Roman" w:cs="Times New Roman"/>
                <w:color w:val="000000"/>
                <w:sz w:val="20"/>
                <w:szCs w:val="20"/>
                <w:lang w:eastAsia="ru-RU"/>
              </w:rPr>
              <w:t>Среднесписочная численность работников в организациях, не относящимся к субъектам малого предпринимательства (включая средние предприятия), средняя численность работников которых превышает 15 человек за январь-декабрь (чистый ОКВЭД) СЕЛЬСКОЕ ХОЗЯЙСТВО</w:t>
            </w:r>
            <w:proofErr w:type="gramEnd"/>
          </w:p>
        </w:tc>
        <w:tc>
          <w:tcPr>
            <w:tcW w:w="259" w:type="pct"/>
            <w:vMerge w:val="restart"/>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r w:rsidRPr="0098693F">
              <w:rPr>
                <w:rFonts w:ascii="Times New Roman" w:eastAsia="Times New Roman" w:hAnsi="Times New Roman" w:cs="Times New Roman"/>
                <w:i/>
                <w:iCs/>
                <w:color w:val="000000"/>
                <w:sz w:val="20"/>
                <w:szCs w:val="20"/>
                <w:lang w:eastAsia="ru-RU"/>
              </w:rPr>
              <w:t>чел</w:t>
            </w:r>
          </w:p>
        </w:tc>
        <w:tc>
          <w:tcPr>
            <w:tcW w:w="276" w:type="pct"/>
            <w:shd w:val="clear" w:color="auto" w:fill="auto"/>
            <w:hideMark/>
          </w:tcPr>
          <w:p w:rsidR="008F68ED" w:rsidRPr="0098693F"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98693F">
              <w:rPr>
                <w:rFonts w:ascii="Times New Roman" w:eastAsia="Times New Roman" w:hAnsi="Times New Roman" w:cs="Times New Roman"/>
                <w:color w:val="006100"/>
                <w:sz w:val="20"/>
                <w:szCs w:val="20"/>
                <w:lang w:eastAsia="ru-RU"/>
              </w:rPr>
              <w:t>1</w:t>
            </w:r>
          </w:p>
        </w:tc>
        <w:tc>
          <w:tcPr>
            <w:tcW w:w="404" w:type="pct"/>
            <w:vMerge w:val="restart"/>
            <w:shd w:val="clear" w:color="auto" w:fill="auto"/>
            <w:noWrap/>
            <w:hideMark/>
          </w:tcPr>
          <w:p w:rsidR="008F68ED" w:rsidRPr="0098693F"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color w:val="000000"/>
                <w:sz w:val="20"/>
                <w:szCs w:val="20"/>
              </w:rPr>
              <w:t>824</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782</w:t>
            </w:r>
          </w:p>
        </w:tc>
        <w:tc>
          <w:tcPr>
            <w:tcW w:w="414" w:type="pct"/>
            <w:shd w:val="clear" w:color="auto" w:fill="auto"/>
            <w:hideMark/>
          </w:tcPr>
          <w:p w:rsidR="008F68ED" w:rsidRPr="0098693F" w:rsidRDefault="008F68ED" w:rsidP="00A47176">
            <w:pPr>
              <w:keepNext/>
              <w:keepLines/>
              <w:spacing w:after="0" w:line="240" w:lineRule="auto"/>
              <w:rPr>
                <w:color w:val="000000"/>
                <w:sz w:val="20"/>
                <w:szCs w:val="20"/>
              </w:rPr>
            </w:pPr>
            <w:r>
              <w:rPr>
                <w:color w:val="000000"/>
                <w:sz w:val="20"/>
                <w:szCs w:val="20"/>
              </w:rPr>
              <w:t>742</w:t>
            </w:r>
          </w:p>
        </w:tc>
        <w:tc>
          <w:tcPr>
            <w:tcW w:w="365" w:type="pct"/>
            <w:shd w:val="clear" w:color="auto" w:fill="auto"/>
            <w:noWrap/>
            <w:hideMark/>
          </w:tcPr>
          <w:p w:rsidR="008F68ED" w:rsidRPr="0098693F" w:rsidRDefault="008F68ED" w:rsidP="00A47176">
            <w:pPr>
              <w:keepNext/>
              <w:keepLines/>
              <w:spacing w:after="0" w:line="240" w:lineRule="auto"/>
              <w:rPr>
                <w:color w:val="000000"/>
                <w:sz w:val="20"/>
                <w:szCs w:val="20"/>
              </w:rPr>
            </w:pPr>
            <w:r>
              <w:rPr>
                <w:color w:val="000000"/>
                <w:sz w:val="20"/>
                <w:szCs w:val="20"/>
              </w:rPr>
              <w:t>735</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A47176">
              <w:rPr>
                <w:rFonts w:ascii="Times New Roman" w:eastAsia="Times New Roman" w:hAnsi="Times New Roman" w:cs="Times New Roman"/>
                <w:color w:val="006100"/>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779</w:t>
            </w:r>
          </w:p>
        </w:tc>
        <w:tc>
          <w:tcPr>
            <w:tcW w:w="365" w:type="pc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772</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6100"/>
                <w:sz w:val="20"/>
                <w:szCs w:val="20"/>
                <w:lang w:eastAsia="ru-RU"/>
              </w:rPr>
            </w:pPr>
            <w:r w:rsidRPr="00A47176">
              <w:rPr>
                <w:rFonts w:ascii="Times New Roman" w:eastAsia="Times New Roman" w:hAnsi="Times New Roman" w:cs="Times New Roman"/>
                <w:color w:val="006100"/>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857</w:t>
            </w:r>
          </w:p>
        </w:tc>
        <w:tc>
          <w:tcPr>
            <w:tcW w:w="365" w:type="pct"/>
            <w:shd w:val="clear" w:color="auto" w:fill="auto"/>
            <w:noWrap/>
            <w:hideMark/>
          </w:tcPr>
          <w:p w:rsidR="008F68ED" w:rsidRPr="00A47176" w:rsidRDefault="00F4548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860</w:t>
            </w:r>
          </w:p>
        </w:tc>
      </w:tr>
      <w:tr w:rsidR="00A47176" w:rsidRPr="00334F58" w:rsidTr="002A73FB">
        <w:trPr>
          <w:trHeight w:val="57"/>
        </w:trPr>
        <w:tc>
          <w:tcPr>
            <w:tcW w:w="5000" w:type="pct"/>
            <w:gridSpan w:val="7"/>
            <w:shd w:val="clear" w:color="auto" w:fill="auto"/>
            <w:hideMark/>
          </w:tcPr>
          <w:p w:rsidR="00A47176" w:rsidRPr="00334F58" w:rsidRDefault="00A47176" w:rsidP="00A47176">
            <w:pPr>
              <w:keepNext/>
              <w:keepLines/>
              <w:spacing w:after="0" w:line="240" w:lineRule="auto"/>
              <w:rPr>
                <w:rFonts w:ascii="Times New Roman" w:eastAsia="Times New Roman" w:hAnsi="Times New Roman" w:cs="Times New Roman"/>
                <w:b/>
                <w:bCs/>
                <w:color w:val="000000"/>
                <w:sz w:val="24"/>
                <w:szCs w:val="24"/>
                <w:lang w:eastAsia="ru-RU"/>
              </w:rPr>
            </w:pPr>
            <w:r w:rsidRPr="00334F58">
              <w:rPr>
                <w:rFonts w:ascii="Times New Roman" w:eastAsia="Times New Roman" w:hAnsi="Times New Roman" w:cs="Times New Roman"/>
                <w:b/>
                <w:bCs/>
                <w:color w:val="000000"/>
                <w:sz w:val="24"/>
                <w:szCs w:val="24"/>
                <w:lang w:eastAsia="ru-RU"/>
              </w:rPr>
              <w:t>Новое качество жизни, туризма и спорта</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Общий коэффициент рождаемости (на 1000 человек населения)</w:t>
            </w:r>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r w:rsidRPr="00A47176">
              <w:rPr>
                <w:rFonts w:ascii="Times New Roman" w:eastAsia="Times New Roman" w:hAnsi="Times New Roman" w:cs="Times New Roman"/>
                <w:i/>
                <w:iCs/>
                <w:color w:val="000000"/>
                <w:sz w:val="20"/>
                <w:szCs w:val="20"/>
                <w:lang w:eastAsia="ru-RU"/>
              </w:rPr>
              <w:t>‰</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Pr>
                <w:color w:val="000000"/>
                <w:sz w:val="20"/>
                <w:szCs w:val="20"/>
              </w:rPr>
              <w:t>8,7</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7,3</w:t>
            </w: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7,9</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8,8</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8,1</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9,0</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8,6</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9,2</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Общий коэффициент смертности (на 1000 человек населения)</w:t>
            </w:r>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r w:rsidRPr="00A47176">
              <w:rPr>
                <w:rFonts w:ascii="Times New Roman" w:eastAsia="Times New Roman" w:hAnsi="Times New Roman" w:cs="Times New Roman"/>
                <w:i/>
                <w:iCs/>
                <w:color w:val="000000"/>
                <w:sz w:val="20"/>
                <w:szCs w:val="20"/>
                <w:lang w:eastAsia="ru-RU"/>
              </w:rPr>
              <w:t>‰</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Pr>
                <w:color w:val="000000"/>
                <w:sz w:val="20"/>
                <w:szCs w:val="20"/>
              </w:rPr>
              <w:t>19,8</w:t>
            </w:r>
          </w:p>
        </w:tc>
        <w:tc>
          <w:tcPr>
            <w:tcW w:w="414" w:type="pct"/>
            <w:vMerge w:val="restart"/>
            <w:shd w:val="clear" w:color="auto" w:fill="auto"/>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Pr>
                <w:color w:val="000000"/>
                <w:sz w:val="20"/>
                <w:szCs w:val="20"/>
              </w:rPr>
              <w:t>18,0</w:t>
            </w:r>
          </w:p>
        </w:tc>
        <w:tc>
          <w:tcPr>
            <w:tcW w:w="414" w:type="pct"/>
            <w:shd w:val="clear" w:color="auto" w:fill="auto"/>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Pr>
                <w:color w:val="000000"/>
                <w:sz w:val="20"/>
                <w:szCs w:val="20"/>
              </w:rPr>
              <w:t>21,0</w:t>
            </w:r>
          </w:p>
        </w:tc>
        <w:tc>
          <w:tcPr>
            <w:tcW w:w="365" w:type="pct"/>
            <w:shd w:val="clear" w:color="auto" w:fill="auto"/>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Pr>
                <w:color w:val="000000"/>
                <w:sz w:val="20"/>
                <w:szCs w:val="20"/>
              </w:rPr>
              <w:t>18,2</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p>
        </w:tc>
        <w:tc>
          <w:tcPr>
            <w:tcW w:w="414" w:type="pct"/>
            <w:shd w:val="clear" w:color="auto" w:fill="auto"/>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Pr>
                <w:color w:val="000000"/>
                <w:sz w:val="20"/>
                <w:szCs w:val="20"/>
              </w:rPr>
              <w:t>20,0</w:t>
            </w:r>
          </w:p>
        </w:tc>
        <w:tc>
          <w:tcPr>
            <w:tcW w:w="365" w:type="pct"/>
            <w:shd w:val="clear" w:color="auto" w:fill="auto"/>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Pr>
                <w:color w:val="000000"/>
                <w:sz w:val="20"/>
                <w:szCs w:val="20"/>
              </w:rPr>
              <w:t>17,9</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p>
        </w:tc>
        <w:tc>
          <w:tcPr>
            <w:tcW w:w="414" w:type="pct"/>
            <w:shd w:val="clear" w:color="auto" w:fill="auto"/>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Pr>
                <w:color w:val="000000"/>
                <w:sz w:val="20"/>
                <w:szCs w:val="20"/>
              </w:rPr>
              <w:t>19,5</w:t>
            </w:r>
          </w:p>
        </w:tc>
        <w:tc>
          <w:tcPr>
            <w:tcW w:w="365" w:type="pct"/>
            <w:shd w:val="clear" w:color="auto" w:fill="auto"/>
            <w:hideMark/>
          </w:tcPr>
          <w:p w:rsidR="008F68ED" w:rsidRPr="003E1ED2" w:rsidRDefault="008F68ED" w:rsidP="00A47176">
            <w:pPr>
              <w:keepNext/>
              <w:keepLines/>
              <w:spacing w:after="0" w:line="240" w:lineRule="auto"/>
              <w:rPr>
                <w:rFonts w:ascii="Times New Roman" w:eastAsia="Times New Roman" w:hAnsi="Times New Roman" w:cs="Times New Roman"/>
                <w:bCs/>
                <w:color w:val="000000"/>
                <w:sz w:val="20"/>
                <w:szCs w:val="20"/>
                <w:highlight w:val="yellow"/>
                <w:lang w:eastAsia="ru-RU"/>
              </w:rPr>
            </w:pPr>
            <w:r>
              <w:rPr>
                <w:color w:val="000000"/>
                <w:sz w:val="20"/>
                <w:szCs w:val="20"/>
              </w:rPr>
              <w:t>17,1</w:t>
            </w:r>
          </w:p>
        </w:tc>
      </w:tr>
      <w:tr w:rsidR="00071FA0" w:rsidRPr="00A47176" w:rsidTr="008F68ED">
        <w:trPr>
          <w:trHeight w:val="57"/>
        </w:trPr>
        <w:tc>
          <w:tcPr>
            <w:tcW w:w="2868" w:type="pct"/>
            <w:vMerge w:val="restar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Количество туристов и экскурсантов, посетивших район (в год)</w:t>
            </w:r>
          </w:p>
        </w:tc>
        <w:tc>
          <w:tcPr>
            <w:tcW w:w="259" w:type="pct"/>
            <w:vMerge w:val="restar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i/>
                <w:iCs/>
                <w:color w:val="000000"/>
                <w:sz w:val="20"/>
                <w:szCs w:val="20"/>
                <w:lang w:eastAsia="ru-RU"/>
              </w:rPr>
            </w:pPr>
            <w:r w:rsidRPr="00A47176">
              <w:rPr>
                <w:rFonts w:ascii="Times New Roman" w:eastAsia="Times New Roman" w:hAnsi="Times New Roman" w:cs="Times New Roman"/>
                <w:i/>
                <w:iCs/>
                <w:color w:val="000000"/>
                <w:sz w:val="20"/>
                <w:szCs w:val="20"/>
                <w:lang w:eastAsia="ru-RU"/>
              </w:rPr>
              <w:t>чел.</w:t>
            </w:r>
          </w:p>
        </w:tc>
        <w:tc>
          <w:tcPr>
            <w:tcW w:w="276" w:type="pc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1</w:t>
            </w:r>
          </w:p>
        </w:tc>
        <w:tc>
          <w:tcPr>
            <w:tcW w:w="404" w:type="pct"/>
            <w:vMerge w:val="restart"/>
            <w:shd w:val="clear" w:color="auto" w:fill="auto"/>
            <w:noWrap/>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r>
              <w:rPr>
                <w:color w:val="000000"/>
                <w:sz w:val="20"/>
                <w:szCs w:val="20"/>
              </w:rPr>
              <w:t>80 950</w:t>
            </w:r>
          </w:p>
        </w:tc>
        <w:tc>
          <w:tcPr>
            <w:tcW w:w="414" w:type="pct"/>
            <w:vMerge w:val="restar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102 331</w:t>
            </w:r>
          </w:p>
        </w:tc>
        <w:tc>
          <w:tcPr>
            <w:tcW w:w="414" w:type="pct"/>
            <w:shd w:val="clear" w:color="auto" w:fill="auto"/>
            <w:hideMark/>
          </w:tcPr>
          <w:p w:rsidR="00071FA0" w:rsidRDefault="00071FA0">
            <w:pPr>
              <w:rPr>
                <w:color w:val="000000"/>
                <w:sz w:val="20"/>
                <w:szCs w:val="20"/>
              </w:rPr>
            </w:pPr>
            <w:r>
              <w:rPr>
                <w:color w:val="000000"/>
                <w:sz w:val="20"/>
                <w:szCs w:val="20"/>
              </w:rPr>
              <w:t>113 000</w:t>
            </w:r>
          </w:p>
        </w:tc>
        <w:tc>
          <w:tcPr>
            <w:tcW w:w="365" w:type="pct"/>
            <w:shd w:val="clear" w:color="auto" w:fill="auto"/>
            <w:hideMark/>
          </w:tcPr>
          <w:p w:rsidR="00071FA0" w:rsidRDefault="00071FA0">
            <w:pPr>
              <w:rPr>
                <w:color w:val="000000"/>
                <w:sz w:val="20"/>
                <w:szCs w:val="20"/>
              </w:rPr>
            </w:pPr>
            <w:r>
              <w:rPr>
                <w:color w:val="000000"/>
                <w:sz w:val="20"/>
                <w:szCs w:val="20"/>
              </w:rPr>
              <w:t>120 000</w:t>
            </w:r>
          </w:p>
        </w:tc>
      </w:tr>
      <w:tr w:rsidR="00071FA0" w:rsidRPr="00A47176" w:rsidTr="0062191C">
        <w:trPr>
          <w:trHeight w:val="57"/>
        </w:trPr>
        <w:tc>
          <w:tcPr>
            <w:tcW w:w="2868" w:type="pct"/>
            <w:vMerge/>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2</w:t>
            </w:r>
          </w:p>
        </w:tc>
        <w:tc>
          <w:tcPr>
            <w:tcW w:w="404" w:type="pct"/>
            <w:vMerge/>
            <w:shd w:val="clear" w:color="auto" w:fill="auto"/>
            <w:vAlign w:val="center"/>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071FA0" w:rsidRPr="00A47176" w:rsidRDefault="00071FA0"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071FA0" w:rsidRDefault="00071FA0">
            <w:pPr>
              <w:rPr>
                <w:color w:val="000000"/>
                <w:sz w:val="20"/>
                <w:szCs w:val="20"/>
              </w:rPr>
            </w:pPr>
            <w:r>
              <w:rPr>
                <w:color w:val="000000"/>
                <w:sz w:val="20"/>
                <w:szCs w:val="20"/>
              </w:rPr>
              <w:t>115 000</w:t>
            </w:r>
          </w:p>
        </w:tc>
        <w:tc>
          <w:tcPr>
            <w:tcW w:w="365" w:type="pct"/>
            <w:shd w:val="clear" w:color="auto" w:fill="auto"/>
            <w:hideMark/>
          </w:tcPr>
          <w:p w:rsidR="00071FA0" w:rsidRDefault="00071FA0">
            <w:pPr>
              <w:rPr>
                <w:color w:val="000000"/>
                <w:sz w:val="20"/>
                <w:szCs w:val="20"/>
              </w:rPr>
            </w:pPr>
            <w:r>
              <w:rPr>
                <w:color w:val="000000"/>
                <w:sz w:val="20"/>
                <w:szCs w:val="20"/>
              </w:rPr>
              <w:t>135 000</w:t>
            </w:r>
          </w:p>
        </w:tc>
      </w:tr>
      <w:tr w:rsidR="00071FA0" w:rsidRPr="00A47176" w:rsidTr="0062191C">
        <w:trPr>
          <w:trHeight w:val="57"/>
        </w:trPr>
        <w:tc>
          <w:tcPr>
            <w:tcW w:w="2868" w:type="pct"/>
            <w:vMerge/>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3</w:t>
            </w:r>
          </w:p>
        </w:tc>
        <w:tc>
          <w:tcPr>
            <w:tcW w:w="404" w:type="pct"/>
            <w:vMerge/>
            <w:shd w:val="clear" w:color="auto" w:fill="auto"/>
            <w:vAlign w:val="center"/>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071FA0" w:rsidRPr="00A47176" w:rsidRDefault="00071FA0"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071FA0" w:rsidRDefault="00071FA0">
            <w:pPr>
              <w:rPr>
                <w:color w:val="000000"/>
                <w:sz w:val="20"/>
                <w:szCs w:val="20"/>
              </w:rPr>
            </w:pPr>
            <w:r>
              <w:rPr>
                <w:color w:val="000000"/>
                <w:sz w:val="20"/>
                <w:szCs w:val="20"/>
              </w:rPr>
              <w:t>126 500</w:t>
            </w:r>
          </w:p>
        </w:tc>
        <w:tc>
          <w:tcPr>
            <w:tcW w:w="365" w:type="pct"/>
            <w:shd w:val="clear" w:color="auto" w:fill="auto"/>
            <w:hideMark/>
          </w:tcPr>
          <w:p w:rsidR="00071FA0" w:rsidRDefault="00071FA0">
            <w:pPr>
              <w:rPr>
                <w:color w:val="000000"/>
                <w:sz w:val="20"/>
                <w:szCs w:val="20"/>
              </w:rPr>
            </w:pPr>
            <w:r>
              <w:rPr>
                <w:color w:val="000000"/>
                <w:sz w:val="20"/>
                <w:szCs w:val="20"/>
              </w:rPr>
              <w:t>151 000</w:t>
            </w:r>
          </w:p>
        </w:tc>
      </w:tr>
      <w:tr w:rsidR="00071FA0" w:rsidRPr="00A47176" w:rsidTr="008F68ED">
        <w:trPr>
          <w:trHeight w:val="57"/>
        </w:trPr>
        <w:tc>
          <w:tcPr>
            <w:tcW w:w="2868" w:type="pct"/>
            <w:vMerge w:val="restar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 xml:space="preserve">Доля населения, систематически </w:t>
            </w:r>
            <w:proofErr w:type="gramStart"/>
            <w:r w:rsidRPr="00A47176">
              <w:rPr>
                <w:rFonts w:ascii="Times New Roman" w:eastAsia="Times New Roman" w:hAnsi="Times New Roman" w:cs="Times New Roman"/>
                <w:color w:val="000000"/>
                <w:sz w:val="20"/>
                <w:szCs w:val="20"/>
                <w:lang w:eastAsia="ru-RU"/>
              </w:rPr>
              <w:t>занимающихся</w:t>
            </w:r>
            <w:proofErr w:type="gramEnd"/>
            <w:r w:rsidRPr="00A47176">
              <w:rPr>
                <w:rFonts w:ascii="Times New Roman" w:eastAsia="Times New Roman" w:hAnsi="Times New Roman" w:cs="Times New Roman"/>
                <w:color w:val="000000"/>
                <w:sz w:val="20"/>
                <w:szCs w:val="20"/>
                <w:lang w:eastAsia="ru-RU"/>
              </w:rPr>
              <w:t xml:space="preserve"> физической культурой и спортом</w:t>
            </w:r>
          </w:p>
        </w:tc>
        <w:tc>
          <w:tcPr>
            <w:tcW w:w="259" w:type="pct"/>
            <w:vMerge w:val="restar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i/>
                <w:iCs/>
                <w:color w:val="000000"/>
                <w:sz w:val="20"/>
                <w:szCs w:val="20"/>
                <w:lang w:eastAsia="ru-RU"/>
              </w:rPr>
            </w:pPr>
            <w:r w:rsidRPr="00A47176">
              <w:rPr>
                <w:rFonts w:ascii="Times New Roman" w:eastAsia="Times New Roman" w:hAnsi="Times New Roman" w:cs="Times New Roman"/>
                <w:i/>
                <w:iCs/>
                <w:color w:val="000000"/>
                <w:sz w:val="20"/>
                <w:szCs w:val="20"/>
                <w:lang w:eastAsia="ru-RU"/>
              </w:rPr>
              <w:t>%</w:t>
            </w:r>
          </w:p>
        </w:tc>
        <w:tc>
          <w:tcPr>
            <w:tcW w:w="276" w:type="pc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1</w:t>
            </w:r>
          </w:p>
        </w:tc>
        <w:tc>
          <w:tcPr>
            <w:tcW w:w="404" w:type="pct"/>
            <w:vMerge w:val="restart"/>
            <w:shd w:val="clear" w:color="auto" w:fill="auto"/>
            <w:noWrap/>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r>
              <w:rPr>
                <w:color w:val="000000"/>
                <w:sz w:val="20"/>
                <w:szCs w:val="20"/>
              </w:rPr>
              <w:t>35,2</w:t>
            </w:r>
          </w:p>
        </w:tc>
        <w:tc>
          <w:tcPr>
            <w:tcW w:w="414" w:type="pct"/>
            <w:vMerge w:val="restar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43,3</w:t>
            </w:r>
          </w:p>
        </w:tc>
        <w:tc>
          <w:tcPr>
            <w:tcW w:w="414" w:type="pct"/>
            <w:shd w:val="clear" w:color="auto" w:fill="auto"/>
            <w:hideMark/>
          </w:tcPr>
          <w:p w:rsidR="00071FA0" w:rsidRDefault="00071FA0" w:rsidP="00F4548D">
            <w:pPr>
              <w:rPr>
                <w:color w:val="000000"/>
                <w:sz w:val="20"/>
                <w:szCs w:val="20"/>
              </w:rPr>
            </w:pPr>
            <w:r>
              <w:rPr>
                <w:color w:val="000000"/>
                <w:sz w:val="20"/>
                <w:szCs w:val="20"/>
              </w:rPr>
              <w:t>44</w:t>
            </w:r>
          </w:p>
        </w:tc>
        <w:tc>
          <w:tcPr>
            <w:tcW w:w="365" w:type="pct"/>
            <w:shd w:val="clear" w:color="auto" w:fill="auto"/>
            <w:hideMark/>
          </w:tcPr>
          <w:p w:rsidR="00071FA0" w:rsidRDefault="00071FA0">
            <w:pPr>
              <w:rPr>
                <w:color w:val="000000"/>
                <w:sz w:val="20"/>
                <w:szCs w:val="20"/>
              </w:rPr>
            </w:pPr>
            <w:r>
              <w:rPr>
                <w:color w:val="000000"/>
                <w:sz w:val="20"/>
                <w:szCs w:val="20"/>
              </w:rPr>
              <w:t>50</w:t>
            </w:r>
          </w:p>
        </w:tc>
      </w:tr>
      <w:tr w:rsidR="00071FA0" w:rsidRPr="00A47176" w:rsidTr="0062191C">
        <w:trPr>
          <w:trHeight w:val="57"/>
        </w:trPr>
        <w:tc>
          <w:tcPr>
            <w:tcW w:w="2868" w:type="pct"/>
            <w:vMerge/>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2</w:t>
            </w:r>
          </w:p>
        </w:tc>
        <w:tc>
          <w:tcPr>
            <w:tcW w:w="404" w:type="pct"/>
            <w:vMerge/>
            <w:shd w:val="clear" w:color="auto" w:fill="auto"/>
            <w:vAlign w:val="center"/>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071FA0" w:rsidRPr="00A47176" w:rsidRDefault="00071FA0"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071FA0" w:rsidRDefault="00071FA0">
            <w:pPr>
              <w:rPr>
                <w:color w:val="000000"/>
                <w:sz w:val="20"/>
                <w:szCs w:val="20"/>
              </w:rPr>
            </w:pPr>
            <w:r>
              <w:rPr>
                <w:color w:val="000000"/>
                <w:sz w:val="20"/>
                <w:szCs w:val="20"/>
              </w:rPr>
              <w:t>50</w:t>
            </w:r>
          </w:p>
        </w:tc>
        <w:tc>
          <w:tcPr>
            <w:tcW w:w="365" w:type="pct"/>
            <w:shd w:val="clear" w:color="auto" w:fill="auto"/>
            <w:hideMark/>
          </w:tcPr>
          <w:p w:rsidR="00071FA0" w:rsidRDefault="00071FA0">
            <w:pPr>
              <w:rPr>
                <w:color w:val="000000"/>
                <w:sz w:val="20"/>
                <w:szCs w:val="20"/>
              </w:rPr>
            </w:pPr>
            <w:r>
              <w:rPr>
                <w:color w:val="000000"/>
                <w:sz w:val="20"/>
                <w:szCs w:val="20"/>
              </w:rPr>
              <w:t>70</w:t>
            </w:r>
          </w:p>
        </w:tc>
      </w:tr>
      <w:tr w:rsidR="00071FA0" w:rsidRPr="00A47176" w:rsidTr="0062191C">
        <w:trPr>
          <w:trHeight w:val="57"/>
        </w:trPr>
        <w:tc>
          <w:tcPr>
            <w:tcW w:w="2868" w:type="pct"/>
            <w:vMerge/>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071FA0" w:rsidRPr="00A47176" w:rsidRDefault="00071FA0" w:rsidP="00A47176">
            <w:pPr>
              <w:keepNext/>
              <w:keepLines/>
              <w:spacing w:after="0" w:line="240" w:lineRule="auto"/>
              <w:rPr>
                <w:rFonts w:ascii="Times New Roman" w:eastAsia="Times New Roman" w:hAnsi="Times New Roman" w:cs="Times New Roman"/>
                <w:sz w:val="20"/>
                <w:szCs w:val="20"/>
                <w:lang w:eastAsia="ru-RU"/>
              </w:rPr>
            </w:pPr>
            <w:r w:rsidRPr="00A47176">
              <w:rPr>
                <w:rFonts w:ascii="Times New Roman" w:eastAsia="Times New Roman" w:hAnsi="Times New Roman" w:cs="Times New Roman"/>
                <w:sz w:val="20"/>
                <w:szCs w:val="20"/>
                <w:lang w:eastAsia="ru-RU"/>
              </w:rPr>
              <w:t>3</w:t>
            </w:r>
          </w:p>
        </w:tc>
        <w:tc>
          <w:tcPr>
            <w:tcW w:w="404" w:type="pct"/>
            <w:vMerge/>
            <w:shd w:val="clear" w:color="auto" w:fill="auto"/>
            <w:vAlign w:val="center"/>
            <w:hideMark/>
          </w:tcPr>
          <w:p w:rsidR="00071FA0" w:rsidRPr="00A47176" w:rsidRDefault="00071FA0"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071FA0" w:rsidRPr="00A47176" w:rsidRDefault="00071FA0"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071FA0" w:rsidRDefault="00071FA0">
            <w:pPr>
              <w:rPr>
                <w:color w:val="000000"/>
                <w:sz w:val="20"/>
                <w:szCs w:val="20"/>
              </w:rPr>
            </w:pPr>
            <w:r>
              <w:rPr>
                <w:color w:val="000000"/>
                <w:sz w:val="20"/>
                <w:szCs w:val="20"/>
              </w:rPr>
              <w:t>60</w:t>
            </w:r>
          </w:p>
        </w:tc>
        <w:tc>
          <w:tcPr>
            <w:tcW w:w="365" w:type="pct"/>
            <w:shd w:val="clear" w:color="auto" w:fill="auto"/>
            <w:hideMark/>
          </w:tcPr>
          <w:p w:rsidR="00071FA0" w:rsidRDefault="00071FA0">
            <w:pPr>
              <w:rPr>
                <w:color w:val="000000"/>
                <w:sz w:val="20"/>
                <w:szCs w:val="20"/>
              </w:rPr>
            </w:pPr>
            <w:r>
              <w:rPr>
                <w:color w:val="000000"/>
                <w:sz w:val="20"/>
                <w:szCs w:val="20"/>
              </w:rPr>
              <w:t>75</w:t>
            </w:r>
          </w:p>
        </w:tc>
      </w:tr>
      <w:tr w:rsidR="00A47176" w:rsidRPr="00334F58" w:rsidTr="002A73FB">
        <w:trPr>
          <w:trHeight w:val="57"/>
        </w:trPr>
        <w:tc>
          <w:tcPr>
            <w:tcW w:w="5000" w:type="pct"/>
            <w:gridSpan w:val="7"/>
            <w:shd w:val="clear" w:color="auto" w:fill="auto"/>
            <w:hideMark/>
          </w:tcPr>
          <w:p w:rsidR="00A47176" w:rsidRPr="00334F58" w:rsidRDefault="00A47176" w:rsidP="00A47176">
            <w:pPr>
              <w:keepNext/>
              <w:keepLines/>
              <w:spacing w:after="0" w:line="240" w:lineRule="auto"/>
              <w:rPr>
                <w:rFonts w:ascii="Times New Roman" w:eastAsia="Times New Roman" w:hAnsi="Times New Roman" w:cs="Times New Roman"/>
                <w:b/>
                <w:bCs/>
                <w:color w:val="000000"/>
                <w:sz w:val="24"/>
                <w:szCs w:val="24"/>
                <w:lang w:eastAsia="ru-RU"/>
              </w:rPr>
            </w:pPr>
            <w:r w:rsidRPr="00334F58">
              <w:rPr>
                <w:rFonts w:ascii="Times New Roman" w:eastAsia="Times New Roman" w:hAnsi="Times New Roman" w:cs="Times New Roman"/>
                <w:b/>
                <w:color w:val="000000"/>
                <w:sz w:val="24"/>
                <w:szCs w:val="24"/>
                <w:lang w:eastAsia="ru-RU"/>
              </w:rPr>
              <w:t>Кадры и профессиональные компетенции</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Выпуск специалистов учреждениями среднего профессионального образования</w:t>
            </w:r>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r w:rsidRPr="00A47176">
              <w:rPr>
                <w:rFonts w:ascii="Times New Roman" w:eastAsia="Times New Roman" w:hAnsi="Times New Roman" w:cs="Times New Roman"/>
                <w:i/>
                <w:iCs/>
                <w:color w:val="000000"/>
                <w:sz w:val="20"/>
                <w:szCs w:val="20"/>
                <w:lang w:eastAsia="ru-RU"/>
              </w:rPr>
              <w:t>чел</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Pr>
                <w:color w:val="000000"/>
                <w:sz w:val="20"/>
                <w:szCs w:val="20"/>
              </w:rPr>
              <w:t>115</w:t>
            </w:r>
          </w:p>
        </w:tc>
        <w:tc>
          <w:tcPr>
            <w:tcW w:w="414"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219</w:t>
            </w: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220</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220</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240</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255</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260</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280</w:t>
            </w:r>
          </w:p>
        </w:tc>
      </w:tr>
      <w:tr w:rsidR="008F68ED" w:rsidRPr="00A47176" w:rsidTr="008F68ED">
        <w:trPr>
          <w:trHeight w:val="57"/>
        </w:trPr>
        <w:tc>
          <w:tcPr>
            <w:tcW w:w="2868"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 xml:space="preserve">Среднемесячная начисленная заработная плата работников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w:t>
            </w:r>
            <w:r w:rsidRPr="00A47176">
              <w:rPr>
                <w:rFonts w:ascii="Times New Roman" w:eastAsia="Times New Roman" w:hAnsi="Times New Roman" w:cs="Times New Roman"/>
                <w:color w:val="000000"/>
                <w:sz w:val="20"/>
                <w:szCs w:val="20"/>
                <w:lang w:eastAsia="ru-RU"/>
              </w:rPr>
              <w:br/>
              <w:t>за январь-декабрь (чистый ОКВЭД) ВСЕГО</w:t>
            </w:r>
          </w:p>
        </w:tc>
        <w:tc>
          <w:tcPr>
            <w:tcW w:w="259" w:type="pct"/>
            <w:vMerge w:val="restar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r w:rsidRPr="00A47176">
              <w:rPr>
                <w:rFonts w:ascii="Times New Roman" w:eastAsia="Times New Roman" w:hAnsi="Times New Roman" w:cs="Times New Roman"/>
                <w:i/>
                <w:iCs/>
                <w:color w:val="000000"/>
                <w:sz w:val="20"/>
                <w:szCs w:val="20"/>
                <w:lang w:eastAsia="ru-RU"/>
              </w:rPr>
              <w:t>руб.</w:t>
            </w: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1</w:t>
            </w:r>
          </w:p>
        </w:tc>
        <w:tc>
          <w:tcPr>
            <w:tcW w:w="404" w:type="pct"/>
            <w:vMerge w:val="restart"/>
            <w:shd w:val="clear" w:color="auto" w:fill="auto"/>
            <w:noWrap/>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Pr>
                <w:color w:val="000000"/>
                <w:sz w:val="20"/>
                <w:szCs w:val="20"/>
              </w:rPr>
              <w:t>31498</w:t>
            </w:r>
          </w:p>
        </w:tc>
        <w:tc>
          <w:tcPr>
            <w:tcW w:w="414" w:type="pct"/>
            <w:vMerge w:val="restart"/>
            <w:shd w:val="clear" w:color="auto" w:fill="auto"/>
            <w:hideMark/>
          </w:tcPr>
          <w:p w:rsidR="008F68ED" w:rsidRPr="00A47176" w:rsidRDefault="008F68ED" w:rsidP="00A66CB7">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 xml:space="preserve">40 </w:t>
            </w:r>
            <w:r w:rsidR="00A66CB7">
              <w:rPr>
                <w:color w:val="000000"/>
                <w:sz w:val="20"/>
                <w:szCs w:val="20"/>
              </w:rPr>
              <w:t>180</w:t>
            </w:r>
          </w:p>
        </w:tc>
        <w:tc>
          <w:tcPr>
            <w:tcW w:w="414" w:type="pct"/>
            <w:shd w:val="clear" w:color="auto" w:fill="auto"/>
            <w:hideMark/>
          </w:tcPr>
          <w:p w:rsidR="008F68ED" w:rsidRPr="00A47176" w:rsidRDefault="008F68ED" w:rsidP="00A66CB7">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52 14</w:t>
            </w:r>
            <w:r w:rsidR="00A66CB7">
              <w:rPr>
                <w:color w:val="000000"/>
                <w:sz w:val="20"/>
                <w:szCs w:val="20"/>
              </w:rPr>
              <w:t>8</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68 892</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2</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52 253</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69 030</w:t>
            </w:r>
          </w:p>
        </w:tc>
      </w:tr>
      <w:tr w:rsidR="008F68ED" w:rsidRPr="00A47176" w:rsidTr="0062191C">
        <w:trPr>
          <w:trHeight w:val="57"/>
        </w:trPr>
        <w:tc>
          <w:tcPr>
            <w:tcW w:w="2868"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r w:rsidRPr="00A47176">
              <w:rPr>
                <w:rFonts w:ascii="Times New Roman" w:eastAsia="Times New Roman" w:hAnsi="Times New Roman" w:cs="Times New Roman"/>
                <w:color w:val="000000"/>
                <w:sz w:val="20"/>
                <w:szCs w:val="20"/>
                <w:lang w:eastAsia="ru-RU"/>
              </w:rPr>
              <w:t>3</w:t>
            </w:r>
          </w:p>
        </w:tc>
        <w:tc>
          <w:tcPr>
            <w:tcW w:w="40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color w:val="000000"/>
                <w:sz w:val="20"/>
                <w:szCs w:val="20"/>
                <w:lang w:eastAsia="ru-RU"/>
              </w:rPr>
            </w:pPr>
          </w:p>
        </w:tc>
        <w:tc>
          <w:tcPr>
            <w:tcW w:w="414" w:type="pct"/>
            <w:vMerge/>
            <w:shd w:val="clear" w:color="auto" w:fill="auto"/>
            <w:vAlign w:val="center"/>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p>
        </w:tc>
        <w:tc>
          <w:tcPr>
            <w:tcW w:w="414" w:type="pct"/>
            <w:shd w:val="clear" w:color="auto" w:fill="auto"/>
            <w:hideMark/>
          </w:tcPr>
          <w:p w:rsidR="008F68ED" w:rsidRPr="00A47176" w:rsidRDefault="00A66CB7"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58 001</w:t>
            </w:r>
          </w:p>
        </w:tc>
        <w:tc>
          <w:tcPr>
            <w:tcW w:w="365" w:type="pct"/>
            <w:shd w:val="clear" w:color="auto" w:fill="auto"/>
            <w:hideMark/>
          </w:tcPr>
          <w:p w:rsidR="008F68ED" w:rsidRPr="00A47176" w:rsidRDefault="008F68ED" w:rsidP="00A47176">
            <w:pPr>
              <w:keepNext/>
              <w:keepLines/>
              <w:spacing w:after="0" w:line="240" w:lineRule="auto"/>
              <w:rPr>
                <w:rFonts w:ascii="Times New Roman" w:eastAsia="Times New Roman" w:hAnsi="Times New Roman" w:cs="Times New Roman"/>
                <w:bCs/>
                <w:color w:val="000000"/>
                <w:sz w:val="20"/>
                <w:szCs w:val="20"/>
                <w:lang w:eastAsia="ru-RU"/>
              </w:rPr>
            </w:pPr>
            <w:r>
              <w:rPr>
                <w:color w:val="000000"/>
                <w:sz w:val="20"/>
                <w:szCs w:val="20"/>
              </w:rPr>
              <w:t>75 933</w:t>
            </w:r>
          </w:p>
        </w:tc>
      </w:tr>
      <w:tr w:rsidR="008906B9" w:rsidRPr="0098693F" w:rsidTr="008F68ED">
        <w:trPr>
          <w:trHeight w:val="57"/>
        </w:trPr>
        <w:tc>
          <w:tcPr>
            <w:tcW w:w="2868" w:type="pct"/>
            <w:vMerge w:val="restar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муниципальных дошкольных образовательных учреждений, в которых, проведены мероприятия по укреплению материально-технической базы</w:t>
            </w:r>
          </w:p>
        </w:tc>
        <w:tc>
          <w:tcPr>
            <w:tcW w:w="259" w:type="pct"/>
            <w:vMerge w:val="restar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i/>
                <w:iCs/>
                <w:color w:val="000000"/>
                <w:sz w:val="20"/>
                <w:szCs w:val="20"/>
                <w:lang w:eastAsia="ru-RU"/>
              </w:rPr>
            </w:pPr>
            <w:r w:rsidRPr="0098693F">
              <w:rPr>
                <w:rFonts w:ascii="Times New Roman" w:eastAsia="Times New Roman" w:hAnsi="Times New Roman" w:cs="Times New Roman"/>
                <w:i/>
                <w:iCs/>
                <w:color w:val="000000"/>
                <w:sz w:val="20"/>
                <w:szCs w:val="20"/>
                <w:lang w:eastAsia="ru-RU"/>
              </w:rPr>
              <w:t>%</w:t>
            </w:r>
          </w:p>
        </w:tc>
        <w:tc>
          <w:tcPr>
            <w:tcW w:w="276" w:type="pc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t>1</w:t>
            </w:r>
          </w:p>
        </w:tc>
        <w:tc>
          <w:tcPr>
            <w:tcW w:w="404" w:type="pct"/>
            <w:vMerge w:val="restart"/>
            <w:shd w:val="clear" w:color="auto" w:fill="auto"/>
            <w:hideMark/>
          </w:tcPr>
          <w:p w:rsidR="008906B9" w:rsidRPr="008906B9" w:rsidRDefault="008906B9" w:rsidP="008906B9">
            <w:pPr>
              <w:keepNext/>
              <w:keepLines/>
              <w:spacing w:after="0" w:line="240" w:lineRule="auto"/>
              <w:rPr>
                <w:color w:val="000000"/>
                <w:sz w:val="20"/>
                <w:szCs w:val="20"/>
              </w:rPr>
            </w:pPr>
            <w:r w:rsidRPr="008906B9">
              <w:rPr>
                <w:color w:val="000000"/>
                <w:sz w:val="20"/>
                <w:szCs w:val="20"/>
              </w:rPr>
              <w:t>75</w:t>
            </w:r>
          </w:p>
        </w:tc>
        <w:tc>
          <w:tcPr>
            <w:tcW w:w="414" w:type="pct"/>
            <w:vMerge w:val="restart"/>
            <w:shd w:val="clear" w:color="auto" w:fill="auto"/>
            <w:hideMark/>
          </w:tcPr>
          <w:p w:rsidR="008906B9" w:rsidRPr="008906B9" w:rsidRDefault="008906B9" w:rsidP="008906B9">
            <w:pPr>
              <w:keepNext/>
              <w:keepLines/>
              <w:spacing w:after="0" w:line="240" w:lineRule="auto"/>
              <w:rPr>
                <w:color w:val="000000"/>
                <w:sz w:val="20"/>
                <w:szCs w:val="20"/>
              </w:rPr>
            </w:pPr>
            <w:r w:rsidRPr="008906B9">
              <w:rPr>
                <w:color w:val="000000"/>
                <w:sz w:val="20"/>
                <w:szCs w:val="20"/>
              </w:rPr>
              <w:t>80</w:t>
            </w:r>
          </w:p>
        </w:tc>
        <w:tc>
          <w:tcPr>
            <w:tcW w:w="414" w:type="pct"/>
            <w:shd w:val="clear" w:color="auto" w:fill="auto"/>
            <w:hideMark/>
          </w:tcPr>
          <w:p w:rsidR="008906B9" w:rsidRPr="008906B9" w:rsidRDefault="008906B9" w:rsidP="008906B9">
            <w:pPr>
              <w:keepNext/>
              <w:keepLines/>
              <w:spacing w:after="0" w:line="240" w:lineRule="auto"/>
              <w:rPr>
                <w:color w:val="000000"/>
                <w:sz w:val="20"/>
                <w:szCs w:val="20"/>
              </w:rPr>
            </w:pPr>
            <w:r w:rsidRPr="008906B9">
              <w:rPr>
                <w:color w:val="000000"/>
                <w:sz w:val="20"/>
                <w:szCs w:val="20"/>
              </w:rPr>
              <w:t>85</w:t>
            </w:r>
          </w:p>
        </w:tc>
        <w:tc>
          <w:tcPr>
            <w:tcW w:w="365" w:type="pct"/>
            <w:shd w:val="clear" w:color="auto" w:fill="auto"/>
            <w:hideMark/>
          </w:tcPr>
          <w:p w:rsidR="008906B9" w:rsidRPr="008906B9" w:rsidRDefault="008906B9" w:rsidP="008906B9">
            <w:pPr>
              <w:keepNext/>
              <w:keepLines/>
              <w:spacing w:after="0" w:line="240" w:lineRule="auto"/>
              <w:rPr>
                <w:color w:val="000000"/>
                <w:sz w:val="20"/>
                <w:szCs w:val="20"/>
              </w:rPr>
            </w:pPr>
            <w:r w:rsidRPr="008906B9">
              <w:rPr>
                <w:color w:val="000000"/>
                <w:sz w:val="20"/>
                <w:szCs w:val="20"/>
              </w:rPr>
              <w:t>91</w:t>
            </w:r>
          </w:p>
        </w:tc>
      </w:tr>
      <w:tr w:rsidR="008906B9" w:rsidRPr="0098693F" w:rsidTr="0062191C">
        <w:trPr>
          <w:trHeight w:val="57"/>
        </w:trPr>
        <w:tc>
          <w:tcPr>
            <w:tcW w:w="2868" w:type="pct"/>
            <w:vMerge/>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t>2</w:t>
            </w:r>
          </w:p>
        </w:tc>
        <w:tc>
          <w:tcPr>
            <w:tcW w:w="404" w:type="pct"/>
            <w:vMerge/>
            <w:shd w:val="clear" w:color="auto" w:fill="auto"/>
            <w:vAlign w:val="center"/>
            <w:hideMark/>
          </w:tcPr>
          <w:p w:rsidR="008906B9" w:rsidRPr="008906B9" w:rsidRDefault="008906B9" w:rsidP="00A47176">
            <w:pPr>
              <w:keepNext/>
              <w:keepLines/>
              <w:spacing w:after="0" w:line="240" w:lineRule="auto"/>
              <w:rPr>
                <w:color w:val="000000"/>
                <w:sz w:val="20"/>
                <w:szCs w:val="20"/>
              </w:rPr>
            </w:pPr>
          </w:p>
        </w:tc>
        <w:tc>
          <w:tcPr>
            <w:tcW w:w="414" w:type="pct"/>
            <w:vMerge/>
            <w:shd w:val="clear" w:color="auto" w:fill="auto"/>
            <w:vAlign w:val="center"/>
            <w:hideMark/>
          </w:tcPr>
          <w:p w:rsidR="008906B9" w:rsidRPr="008906B9" w:rsidRDefault="008906B9" w:rsidP="00A47176">
            <w:pPr>
              <w:keepNext/>
              <w:keepLines/>
              <w:spacing w:after="0" w:line="240" w:lineRule="auto"/>
              <w:rPr>
                <w:color w:val="000000"/>
                <w:sz w:val="20"/>
                <w:szCs w:val="20"/>
              </w:rPr>
            </w:pPr>
          </w:p>
        </w:tc>
        <w:tc>
          <w:tcPr>
            <w:tcW w:w="414" w:type="pct"/>
            <w:shd w:val="clear" w:color="auto" w:fill="auto"/>
            <w:hideMark/>
          </w:tcPr>
          <w:p w:rsidR="008906B9" w:rsidRPr="008906B9" w:rsidRDefault="008906B9" w:rsidP="00A47176">
            <w:pPr>
              <w:keepNext/>
              <w:keepLines/>
              <w:spacing w:after="0" w:line="240" w:lineRule="auto"/>
              <w:rPr>
                <w:color w:val="000000"/>
                <w:sz w:val="20"/>
                <w:szCs w:val="20"/>
              </w:rPr>
            </w:pPr>
            <w:r w:rsidRPr="008906B9">
              <w:rPr>
                <w:color w:val="000000"/>
                <w:sz w:val="20"/>
                <w:szCs w:val="20"/>
              </w:rPr>
              <w:t>91</w:t>
            </w:r>
          </w:p>
        </w:tc>
        <w:tc>
          <w:tcPr>
            <w:tcW w:w="365" w:type="pct"/>
            <w:shd w:val="clear" w:color="auto" w:fill="auto"/>
            <w:hideMark/>
          </w:tcPr>
          <w:p w:rsidR="008906B9" w:rsidRPr="008906B9" w:rsidRDefault="008906B9" w:rsidP="00A47176">
            <w:pPr>
              <w:keepNext/>
              <w:keepLines/>
              <w:spacing w:after="0" w:line="240" w:lineRule="auto"/>
              <w:rPr>
                <w:color w:val="000000"/>
                <w:sz w:val="20"/>
                <w:szCs w:val="20"/>
              </w:rPr>
            </w:pPr>
            <w:r w:rsidRPr="008906B9">
              <w:rPr>
                <w:color w:val="000000"/>
                <w:sz w:val="20"/>
                <w:szCs w:val="20"/>
              </w:rPr>
              <w:t>100</w:t>
            </w:r>
          </w:p>
        </w:tc>
      </w:tr>
      <w:tr w:rsidR="008906B9" w:rsidRPr="0098693F" w:rsidTr="0062191C">
        <w:trPr>
          <w:trHeight w:val="57"/>
        </w:trPr>
        <w:tc>
          <w:tcPr>
            <w:tcW w:w="2868" w:type="pct"/>
            <w:vMerge/>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t>3</w:t>
            </w:r>
          </w:p>
        </w:tc>
        <w:tc>
          <w:tcPr>
            <w:tcW w:w="404" w:type="pct"/>
            <w:vMerge/>
            <w:shd w:val="clear" w:color="auto" w:fill="auto"/>
            <w:vAlign w:val="center"/>
            <w:hideMark/>
          </w:tcPr>
          <w:p w:rsidR="008906B9" w:rsidRPr="008906B9" w:rsidRDefault="008906B9" w:rsidP="00A47176">
            <w:pPr>
              <w:keepNext/>
              <w:keepLines/>
              <w:spacing w:after="0" w:line="240" w:lineRule="auto"/>
              <w:rPr>
                <w:color w:val="000000"/>
                <w:sz w:val="20"/>
                <w:szCs w:val="20"/>
              </w:rPr>
            </w:pPr>
          </w:p>
        </w:tc>
        <w:tc>
          <w:tcPr>
            <w:tcW w:w="414" w:type="pct"/>
            <w:vMerge/>
            <w:shd w:val="clear" w:color="auto" w:fill="auto"/>
            <w:vAlign w:val="center"/>
            <w:hideMark/>
          </w:tcPr>
          <w:p w:rsidR="008906B9" w:rsidRPr="008906B9" w:rsidRDefault="008906B9" w:rsidP="00A47176">
            <w:pPr>
              <w:keepNext/>
              <w:keepLines/>
              <w:spacing w:after="0" w:line="240" w:lineRule="auto"/>
              <w:rPr>
                <w:color w:val="000000"/>
                <w:sz w:val="20"/>
                <w:szCs w:val="20"/>
              </w:rPr>
            </w:pPr>
          </w:p>
        </w:tc>
        <w:tc>
          <w:tcPr>
            <w:tcW w:w="414" w:type="pct"/>
            <w:shd w:val="clear" w:color="auto" w:fill="auto"/>
            <w:hideMark/>
          </w:tcPr>
          <w:p w:rsidR="008906B9" w:rsidRPr="008906B9" w:rsidRDefault="008906B9" w:rsidP="00A47176">
            <w:pPr>
              <w:keepNext/>
              <w:keepLines/>
              <w:spacing w:after="0" w:line="240" w:lineRule="auto"/>
              <w:rPr>
                <w:color w:val="000000"/>
                <w:sz w:val="20"/>
                <w:szCs w:val="20"/>
              </w:rPr>
            </w:pPr>
            <w:r w:rsidRPr="008906B9">
              <w:rPr>
                <w:color w:val="000000"/>
                <w:sz w:val="20"/>
                <w:szCs w:val="20"/>
              </w:rPr>
              <w:t>98</w:t>
            </w:r>
          </w:p>
        </w:tc>
        <w:tc>
          <w:tcPr>
            <w:tcW w:w="365" w:type="pct"/>
            <w:shd w:val="clear" w:color="auto" w:fill="auto"/>
            <w:hideMark/>
          </w:tcPr>
          <w:p w:rsidR="008906B9" w:rsidRPr="008906B9" w:rsidRDefault="008906B9" w:rsidP="00A47176">
            <w:pPr>
              <w:keepNext/>
              <w:keepLines/>
              <w:spacing w:after="0" w:line="240" w:lineRule="auto"/>
              <w:rPr>
                <w:color w:val="000000"/>
                <w:sz w:val="20"/>
                <w:szCs w:val="20"/>
              </w:rPr>
            </w:pPr>
            <w:r w:rsidRPr="008906B9">
              <w:rPr>
                <w:color w:val="000000"/>
                <w:sz w:val="20"/>
                <w:szCs w:val="20"/>
              </w:rPr>
              <w:t>100</w:t>
            </w:r>
          </w:p>
        </w:tc>
      </w:tr>
      <w:tr w:rsidR="008906B9" w:rsidRPr="0098693F" w:rsidTr="008F68ED">
        <w:trPr>
          <w:trHeight w:val="57"/>
        </w:trPr>
        <w:tc>
          <w:tcPr>
            <w:tcW w:w="2868" w:type="pct"/>
            <w:vMerge w:val="restart"/>
            <w:shd w:val="clear" w:color="auto" w:fill="auto"/>
            <w:hideMark/>
          </w:tcPr>
          <w:p w:rsidR="008906B9" w:rsidRPr="0098693F" w:rsidRDefault="008906B9" w:rsidP="008906B9">
            <w:pPr>
              <w:keepNext/>
              <w:keepLine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Доля муниципальных общеобразовательных организаций, в которых, соответствующих современным требованиям обучения в общем количестве муниципальных общеобразовательных организаций</w:t>
            </w:r>
          </w:p>
        </w:tc>
        <w:tc>
          <w:tcPr>
            <w:tcW w:w="259" w:type="pct"/>
            <w:vMerge w:val="restar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i/>
                <w:iCs/>
                <w:color w:val="000000"/>
                <w:sz w:val="20"/>
                <w:szCs w:val="20"/>
                <w:lang w:eastAsia="ru-RU"/>
              </w:rPr>
            </w:pPr>
            <w:r w:rsidRPr="0098693F">
              <w:rPr>
                <w:rFonts w:ascii="Times New Roman" w:eastAsia="Times New Roman" w:hAnsi="Times New Roman" w:cs="Times New Roman"/>
                <w:i/>
                <w:iCs/>
                <w:color w:val="000000"/>
                <w:sz w:val="20"/>
                <w:szCs w:val="20"/>
                <w:lang w:eastAsia="ru-RU"/>
              </w:rPr>
              <w:t>%</w:t>
            </w:r>
          </w:p>
        </w:tc>
        <w:tc>
          <w:tcPr>
            <w:tcW w:w="276" w:type="pc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t>1</w:t>
            </w:r>
          </w:p>
        </w:tc>
        <w:tc>
          <w:tcPr>
            <w:tcW w:w="404" w:type="pct"/>
            <w:vMerge w:val="restart"/>
            <w:shd w:val="clear" w:color="auto" w:fill="auto"/>
            <w:hideMark/>
          </w:tcPr>
          <w:p w:rsidR="008906B9" w:rsidRPr="008906B9" w:rsidRDefault="008906B9" w:rsidP="008906B9">
            <w:pPr>
              <w:keepNext/>
              <w:keepLines/>
              <w:spacing w:after="0" w:line="240" w:lineRule="auto"/>
              <w:rPr>
                <w:color w:val="000000"/>
                <w:sz w:val="20"/>
                <w:szCs w:val="20"/>
              </w:rPr>
            </w:pPr>
            <w:r w:rsidRPr="008906B9">
              <w:rPr>
                <w:color w:val="000000"/>
                <w:sz w:val="20"/>
                <w:szCs w:val="20"/>
              </w:rPr>
              <w:t>93</w:t>
            </w:r>
          </w:p>
        </w:tc>
        <w:tc>
          <w:tcPr>
            <w:tcW w:w="414" w:type="pct"/>
            <w:vMerge w:val="restart"/>
            <w:shd w:val="clear" w:color="auto" w:fill="auto"/>
            <w:hideMark/>
          </w:tcPr>
          <w:p w:rsidR="008906B9" w:rsidRPr="008906B9" w:rsidRDefault="008906B9" w:rsidP="008906B9">
            <w:pPr>
              <w:keepNext/>
              <w:keepLines/>
              <w:spacing w:after="0" w:line="240" w:lineRule="auto"/>
              <w:rPr>
                <w:color w:val="000000"/>
                <w:sz w:val="20"/>
                <w:szCs w:val="20"/>
              </w:rPr>
            </w:pPr>
            <w:r w:rsidRPr="008906B9">
              <w:rPr>
                <w:color w:val="000000"/>
                <w:sz w:val="20"/>
                <w:szCs w:val="20"/>
              </w:rPr>
              <w:t>96</w:t>
            </w:r>
          </w:p>
        </w:tc>
        <w:tc>
          <w:tcPr>
            <w:tcW w:w="414" w:type="pct"/>
            <w:shd w:val="clear" w:color="auto" w:fill="auto"/>
            <w:hideMark/>
          </w:tcPr>
          <w:p w:rsidR="008906B9" w:rsidRPr="008906B9" w:rsidRDefault="008906B9" w:rsidP="008906B9">
            <w:pPr>
              <w:keepNext/>
              <w:keepLines/>
              <w:spacing w:after="0" w:line="240" w:lineRule="auto"/>
              <w:rPr>
                <w:color w:val="000000"/>
                <w:sz w:val="20"/>
                <w:szCs w:val="20"/>
              </w:rPr>
            </w:pPr>
            <w:r w:rsidRPr="008906B9">
              <w:rPr>
                <w:color w:val="000000"/>
                <w:sz w:val="20"/>
                <w:szCs w:val="20"/>
              </w:rPr>
              <w:t>96</w:t>
            </w:r>
          </w:p>
        </w:tc>
        <w:tc>
          <w:tcPr>
            <w:tcW w:w="365" w:type="pct"/>
            <w:shd w:val="clear" w:color="auto" w:fill="auto"/>
            <w:hideMark/>
          </w:tcPr>
          <w:p w:rsidR="008906B9" w:rsidRPr="008906B9" w:rsidRDefault="008906B9" w:rsidP="008906B9">
            <w:pPr>
              <w:keepNext/>
              <w:keepLines/>
              <w:spacing w:after="0" w:line="240" w:lineRule="auto"/>
              <w:rPr>
                <w:color w:val="000000"/>
                <w:sz w:val="20"/>
                <w:szCs w:val="20"/>
              </w:rPr>
            </w:pPr>
            <w:r w:rsidRPr="008906B9">
              <w:rPr>
                <w:color w:val="000000"/>
                <w:sz w:val="20"/>
                <w:szCs w:val="20"/>
              </w:rPr>
              <w:t>98</w:t>
            </w:r>
          </w:p>
        </w:tc>
      </w:tr>
      <w:tr w:rsidR="008906B9" w:rsidRPr="0098693F" w:rsidTr="0062191C">
        <w:trPr>
          <w:trHeight w:val="57"/>
        </w:trPr>
        <w:tc>
          <w:tcPr>
            <w:tcW w:w="2868" w:type="pct"/>
            <w:vMerge/>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t>2</w:t>
            </w:r>
          </w:p>
        </w:tc>
        <w:tc>
          <w:tcPr>
            <w:tcW w:w="404" w:type="pct"/>
            <w:vMerge/>
            <w:shd w:val="clear" w:color="auto" w:fill="auto"/>
            <w:vAlign w:val="center"/>
            <w:hideMark/>
          </w:tcPr>
          <w:p w:rsidR="008906B9" w:rsidRPr="008906B9" w:rsidRDefault="008906B9" w:rsidP="00A47176">
            <w:pPr>
              <w:keepNext/>
              <w:keepLines/>
              <w:spacing w:after="0" w:line="240" w:lineRule="auto"/>
              <w:rPr>
                <w:color w:val="000000"/>
                <w:sz w:val="20"/>
                <w:szCs w:val="20"/>
              </w:rPr>
            </w:pPr>
          </w:p>
        </w:tc>
        <w:tc>
          <w:tcPr>
            <w:tcW w:w="414" w:type="pct"/>
            <w:vMerge/>
            <w:shd w:val="clear" w:color="auto" w:fill="auto"/>
            <w:vAlign w:val="center"/>
            <w:hideMark/>
          </w:tcPr>
          <w:p w:rsidR="008906B9" w:rsidRPr="008906B9" w:rsidRDefault="008906B9" w:rsidP="00A47176">
            <w:pPr>
              <w:keepNext/>
              <w:keepLines/>
              <w:spacing w:after="0" w:line="240" w:lineRule="auto"/>
              <w:rPr>
                <w:color w:val="000000"/>
                <w:sz w:val="20"/>
                <w:szCs w:val="20"/>
              </w:rPr>
            </w:pPr>
          </w:p>
        </w:tc>
        <w:tc>
          <w:tcPr>
            <w:tcW w:w="414" w:type="pct"/>
            <w:shd w:val="clear" w:color="auto" w:fill="auto"/>
            <w:hideMark/>
          </w:tcPr>
          <w:p w:rsidR="008906B9" w:rsidRPr="008906B9" w:rsidRDefault="008906B9" w:rsidP="00A47176">
            <w:pPr>
              <w:keepNext/>
              <w:keepLines/>
              <w:spacing w:after="0" w:line="240" w:lineRule="auto"/>
              <w:rPr>
                <w:color w:val="000000"/>
                <w:sz w:val="20"/>
                <w:szCs w:val="20"/>
              </w:rPr>
            </w:pPr>
            <w:r w:rsidRPr="008906B9">
              <w:rPr>
                <w:color w:val="000000"/>
                <w:sz w:val="20"/>
                <w:szCs w:val="20"/>
              </w:rPr>
              <w:t>98</w:t>
            </w:r>
          </w:p>
        </w:tc>
        <w:tc>
          <w:tcPr>
            <w:tcW w:w="365" w:type="pct"/>
            <w:shd w:val="clear" w:color="auto" w:fill="auto"/>
            <w:hideMark/>
          </w:tcPr>
          <w:p w:rsidR="008906B9" w:rsidRPr="008906B9" w:rsidRDefault="008906B9" w:rsidP="00A47176">
            <w:pPr>
              <w:keepNext/>
              <w:keepLines/>
              <w:spacing w:after="0" w:line="240" w:lineRule="auto"/>
              <w:rPr>
                <w:color w:val="000000"/>
                <w:sz w:val="20"/>
                <w:szCs w:val="20"/>
              </w:rPr>
            </w:pPr>
            <w:r w:rsidRPr="008906B9">
              <w:rPr>
                <w:color w:val="000000"/>
                <w:sz w:val="20"/>
                <w:szCs w:val="20"/>
              </w:rPr>
              <w:t>100</w:t>
            </w:r>
          </w:p>
        </w:tc>
      </w:tr>
      <w:tr w:rsidR="008906B9" w:rsidRPr="0098693F" w:rsidTr="0062191C">
        <w:trPr>
          <w:trHeight w:val="57"/>
        </w:trPr>
        <w:tc>
          <w:tcPr>
            <w:tcW w:w="2868" w:type="pct"/>
            <w:vMerge/>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p>
        </w:tc>
        <w:tc>
          <w:tcPr>
            <w:tcW w:w="259" w:type="pct"/>
            <w:vMerge/>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i/>
                <w:iCs/>
                <w:color w:val="000000"/>
                <w:sz w:val="20"/>
                <w:szCs w:val="20"/>
                <w:lang w:eastAsia="ru-RU"/>
              </w:rPr>
            </w:pPr>
          </w:p>
        </w:tc>
        <w:tc>
          <w:tcPr>
            <w:tcW w:w="276" w:type="pct"/>
            <w:shd w:val="clear" w:color="auto" w:fill="auto"/>
            <w:hideMark/>
          </w:tcPr>
          <w:p w:rsidR="008906B9" w:rsidRPr="0098693F" w:rsidRDefault="008906B9" w:rsidP="00A47176">
            <w:pPr>
              <w:keepNext/>
              <w:keepLines/>
              <w:spacing w:after="0" w:line="240" w:lineRule="auto"/>
              <w:rPr>
                <w:rFonts w:ascii="Times New Roman" w:eastAsia="Times New Roman" w:hAnsi="Times New Roman" w:cs="Times New Roman"/>
                <w:color w:val="000000"/>
                <w:sz w:val="20"/>
                <w:szCs w:val="20"/>
                <w:lang w:eastAsia="ru-RU"/>
              </w:rPr>
            </w:pPr>
            <w:r w:rsidRPr="0098693F">
              <w:rPr>
                <w:rFonts w:ascii="Times New Roman" w:eastAsia="Times New Roman" w:hAnsi="Times New Roman" w:cs="Times New Roman"/>
                <w:color w:val="000000"/>
                <w:sz w:val="20"/>
                <w:szCs w:val="20"/>
                <w:lang w:eastAsia="ru-RU"/>
              </w:rPr>
              <w:t>3</w:t>
            </w:r>
          </w:p>
        </w:tc>
        <w:tc>
          <w:tcPr>
            <w:tcW w:w="404" w:type="pct"/>
            <w:vMerge/>
            <w:shd w:val="clear" w:color="auto" w:fill="auto"/>
            <w:vAlign w:val="center"/>
            <w:hideMark/>
          </w:tcPr>
          <w:p w:rsidR="008906B9" w:rsidRPr="008906B9" w:rsidRDefault="008906B9" w:rsidP="00A47176">
            <w:pPr>
              <w:keepNext/>
              <w:keepLines/>
              <w:spacing w:after="0" w:line="240" w:lineRule="auto"/>
              <w:rPr>
                <w:color w:val="000000"/>
                <w:sz w:val="20"/>
                <w:szCs w:val="20"/>
              </w:rPr>
            </w:pPr>
          </w:p>
        </w:tc>
        <w:tc>
          <w:tcPr>
            <w:tcW w:w="414" w:type="pct"/>
            <w:vMerge/>
            <w:shd w:val="clear" w:color="auto" w:fill="auto"/>
            <w:vAlign w:val="center"/>
            <w:hideMark/>
          </w:tcPr>
          <w:p w:rsidR="008906B9" w:rsidRPr="008906B9" w:rsidRDefault="008906B9" w:rsidP="00A47176">
            <w:pPr>
              <w:keepNext/>
              <w:keepLines/>
              <w:spacing w:after="0" w:line="240" w:lineRule="auto"/>
              <w:rPr>
                <w:color w:val="000000"/>
                <w:sz w:val="20"/>
                <w:szCs w:val="20"/>
              </w:rPr>
            </w:pPr>
          </w:p>
        </w:tc>
        <w:tc>
          <w:tcPr>
            <w:tcW w:w="414" w:type="pct"/>
            <w:shd w:val="clear" w:color="auto" w:fill="auto"/>
            <w:hideMark/>
          </w:tcPr>
          <w:p w:rsidR="008906B9" w:rsidRPr="008906B9" w:rsidRDefault="008906B9" w:rsidP="00A47176">
            <w:pPr>
              <w:keepNext/>
              <w:keepLines/>
              <w:spacing w:after="0" w:line="240" w:lineRule="auto"/>
              <w:rPr>
                <w:color w:val="000000"/>
                <w:sz w:val="20"/>
                <w:szCs w:val="20"/>
              </w:rPr>
            </w:pPr>
            <w:r w:rsidRPr="008906B9">
              <w:rPr>
                <w:color w:val="000000"/>
                <w:sz w:val="20"/>
                <w:szCs w:val="20"/>
              </w:rPr>
              <w:t>100</w:t>
            </w:r>
          </w:p>
        </w:tc>
        <w:tc>
          <w:tcPr>
            <w:tcW w:w="365" w:type="pct"/>
            <w:shd w:val="clear" w:color="auto" w:fill="auto"/>
            <w:hideMark/>
          </w:tcPr>
          <w:p w:rsidR="008906B9" w:rsidRPr="008906B9" w:rsidRDefault="008906B9" w:rsidP="00A47176">
            <w:pPr>
              <w:keepNext/>
              <w:keepLines/>
              <w:spacing w:after="0" w:line="240" w:lineRule="auto"/>
              <w:rPr>
                <w:color w:val="000000"/>
                <w:sz w:val="20"/>
                <w:szCs w:val="20"/>
              </w:rPr>
            </w:pPr>
            <w:r w:rsidRPr="008906B9">
              <w:rPr>
                <w:color w:val="000000"/>
                <w:sz w:val="20"/>
                <w:szCs w:val="20"/>
              </w:rPr>
              <w:t>100</w:t>
            </w:r>
          </w:p>
        </w:tc>
      </w:tr>
    </w:tbl>
    <w:p w:rsidR="00A47176" w:rsidRPr="00CA65B1" w:rsidRDefault="00A47176" w:rsidP="00A47176">
      <w:pPr>
        <w:keepNext/>
        <w:keepLines/>
        <w:spacing w:line="240" w:lineRule="auto"/>
        <w:rPr>
          <w:rFonts w:ascii="Times New Roman" w:hAnsi="Times New Roman" w:cs="Times New Roman"/>
          <w:sz w:val="20"/>
          <w:lang w:eastAsia="ru-RU"/>
        </w:rPr>
      </w:pPr>
      <w:r w:rsidRPr="00CA65B1">
        <w:rPr>
          <w:rFonts w:ascii="Times New Roman" w:hAnsi="Times New Roman" w:cs="Times New Roman"/>
          <w:sz w:val="20"/>
          <w:lang w:eastAsia="ru-RU"/>
        </w:rPr>
        <w:t>Примечание: под номерами в таблице приведены следующие сценарии:  «1»– инерционный, «2» – реалистичный, «3» –форсированный</w:t>
      </w:r>
      <w:proofErr w:type="gramStart"/>
      <w:r w:rsidRPr="00CA65B1">
        <w:rPr>
          <w:rFonts w:ascii="Times New Roman" w:hAnsi="Times New Roman" w:cs="Times New Roman"/>
          <w:sz w:val="20"/>
          <w:lang w:eastAsia="ru-RU"/>
        </w:rPr>
        <w:t>.».</w:t>
      </w:r>
      <w:proofErr w:type="gramEnd"/>
    </w:p>
    <w:p w:rsidR="003A5DCC" w:rsidRPr="00CA65B1" w:rsidRDefault="003A5DCC" w:rsidP="00CA65B1">
      <w:pPr>
        <w:keepNext/>
        <w:keepLines/>
        <w:spacing w:line="240" w:lineRule="auto"/>
        <w:rPr>
          <w:rFonts w:ascii="Times New Roman" w:hAnsi="Times New Roman" w:cs="Times New Roman"/>
          <w:sz w:val="20"/>
          <w:lang w:eastAsia="ru-RU"/>
        </w:rPr>
      </w:pPr>
    </w:p>
    <w:p w:rsidR="00533FCE" w:rsidRPr="00CA65B1" w:rsidRDefault="00533FCE" w:rsidP="00CA65B1">
      <w:pPr>
        <w:pStyle w:val="a4"/>
        <w:keepNext/>
        <w:keepLines/>
        <w:numPr>
          <w:ilvl w:val="1"/>
          <w:numId w:val="4"/>
        </w:numPr>
        <w:shd w:val="clear" w:color="auto" w:fill="FFFFFF"/>
        <w:tabs>
          <w:tab w:val="left" w:pos="709"/>
        </w:tabs>
        <w:spacing w:before="120" w:after="120" w:line="240" w:lineRule="auto"/>
        <w:ind w:left="0" w:firstLine="0"/>
        <w:jc w:val="both"/>
        <w:rPr>
          <w:rFonts w:ascii="Times New Roman" w:eastAsia="Times New Roman" w:hAnsi="Times New Roman" w:cs="Times New Roman"/>
          <w:sz w:val="28"/>
          <w:szCs w:val="28"/>
          <w:lang w:eastAsia="ru-RU"/>
        </w:rPr>
      </w:pPr>
      <w:r w:rsidRPr="00CA65B1">
        <w:rPr>
          <w:rFonts w:ascii="Times New Roman" w:eastAsia="Times New Roman" w:hAnsi="Times New Roman" w:cs="Times New Roman"/>
          <w:sz w:val="28"/>
          <w:szCs w:val="28"/>
          <w:lang w:eastAsia="ru-RU"/>
        </w:rPr>
        <w:t xml:space="preserve">Изложить рисунок </w:t>
      </w:r>
      <w:r w:rsidR="000C2D47" w:rsidRPr="00CA65B1">
        <w:rPr>
          <w:rFonts w:ascii="Times New Roman" w:eastAsia="Times New Roman" w:hAnsi="Times New Roman" w:cs="Times New Roman"/>
          <w:sz w:val="28"/>
          <w:szCs w:val="28"/>
          <w:lang w:eastAsia="ru-RU"/>
        </w:rPr>
        <w:t>4</w:t>
      </w:r>
      <w:r w:rsidRPr="00CA65B1">
        <w:rPr>
          <w:rFonts w:ascii="Times New Roman" w:eastAsia="Times New Roman" w:hAnsi="Times New Roman" w:cs="Times New Roman"/>
          <w:sz w:val="28"/>
          <w:szCs w:val="28"/>
          <w:lang w:eastAsia="ru-RU"/>
        </w:rPr>
        <w:t xml:space="preserve"> «Целевые ориентиры стратегии в соответствии с рассмотренными сценариями развития» в </w:t>
      </w:r>
      <w:r w:rsidR="000C2D47" w:rsidRPr="00CA65B1">
        <w:rPr>
          <w:rFonts w:ascii="Times New Roman" w:eastAsia="Times New Roman" w:hAnsi="Times New Roman" w:cs="Times New Roman"/>
          <w:sz w:val="28"/>
          <w:szCs w:val="28"/>
          <w:lang w:eastAsia="ru-RU"/>
        </w:rPr>
        <w:t xml:space="preserve">следующей </w:t>
      </w:r>
      <w:r w:rsidRPr="00CA65B1">
        <w:rPr>
          <w:rFonts w:ascii="Times New Roman" w:eastAsia="Times New Roman" w:hAnsi="Times New Roman" w:cs="Times New Roman"/>
          <w:sz w:val="28"/>
          <w:szCs w:val="28"/>
          <w:lang w:eastAsia="ru-RU"/>
        </w:rPr>
        <w:t>редакции</w:t>
      </w:r>
      <w:r w:rsidR="000C2D47" w:rsidRPr="00CA65B1">
        <w:rPr>
          <w:rFonts w:ascii="Times New Roman" w:eastAsia="Times New Roman" w:hAnsi="Times New Roman" w:cs="Times New Roman"/>
          <w:sz w:val="28"/>
          <w:szCs w:val="28"/>
          <w:lang w:eastAsia="ru-RU"/>
        </w:rPr>
        <w:t>:</w:t>
      </w:r>
    </w:p>
    <w:p w:rsidR="00B010F1" w:rsidRDefault="003A5DCC" w:rsidP="003A5DCC">
      <w:pPr>
        <w:pBdr>
          <w:top w:val="single" w:sz="4" w:space="1" w:color="auto"/>
          <w:left w:val="single" w:sz="4" w:space="4" w:color="auto"/>
          <w:bottom w:val="single" w:sz="4" w:space="1" w:color="auto"/>
          <w:right w:val="single" w:sz="4" w:space="4" w:color="auto"/>
        </w:pBdr>
        <w:jc w:val="center"/>
        <w:rPr>
          <w:noProof/>
          <w:lang w:eastAsia="ru-RU"/>
        </w:rPr>
      </w:pPr>
      <w:r w:rsidRPr="003A5DCC">
        <w:rPr>
          <w:noProof/>
          <w:lang w:eastAsia="ru-RU"/>
        </w:rPr>
        <w:drawing>
          <wp:inline distT="0" distB="0" distL="0" distR="0">
            <wp:extent cx="4572000" cy="20097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0220B">
        <w:rPr>
          <w:noProof/>
          <w:lang w:eastAsia="ru-RU"/>
        </w:rPr>
        <w:t xml:space="preserve">  </w:t>
      </w:r>
      <w:r w:rsidR="00F4548D" w:rsidRPr="00F4548D">
        <w:rPr>
          <w:noProof/>
          <w:lang w:eastAsia="ru-RU"/>
        </w:rPr>
        <w:drawing>
          <wp:inline distT="0" distB="0" distL="0" distR="0">
            <wp:extent cx="4495800" cy="2009775"/>
            <wp:effectExtent l="19050" t="0" r="19050"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5DCC" w:rsidRDefault="00071FA0" w:rsidP="003A5DCC">
      <w:pPr>
        <w:pBdr>
          <w:top w:val="single" w:sz="4" w:space="1" w:color="auto"/>
          <w:left w:val="single" w:sz="4" w:space="4" w:color="auto"/>
          <w:bottom w:val="single" w:sz="4" w:space="1" w:color="auto"/>
          <w:right w:val="single" w:sz="4" w:space="4" w:color="auto"/>
        </w:pBdr>
        <w:jc w:val="center"/>
        <w:rPr>
          <w:noProof/>
          <w:lang w:eastAsia="ru-RU"/>
        </w:rPr>
      </w:pPr>
      <w:r w:rsidRPr="00071FA0">
        <w:rPr>
          <w:noProof/>
          <w:lang w:eastAsia="ru-RU"/>
        </w:rPr>
        <w:drawing>
          <wp:inline distT="0" distB="0" distL="0" distR="0">
            <wp:extent cx="4524375" cy="2152650"/>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0220B" w:rsidRPr="0020220B">
        <w:rPr>
          <w:noProof/>
          <w:lang w:eastAsia="ru-RU"/>
        </w:rPr>
        <w:t xml:space="preserve"> </w:t>
      </w:r>
      <w:r w:rsidR="0020220B" w:rsidRPr="0020220B">
        <w:rPr>
          <w:noProof/>
          <w:lang w:eastAsia="ru-RU"/>
        </w:rPr>
        <w:drawing>
          <wp:inline distT="0" distB="0" distL="0" distR="0">
            <wp:extent cx="4610100" cy="215265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0F1" w:rsidRPr="00B010F1" w:rsidRDefault="00A66CB7" w:rsidP="003A5DCC">
      <w:pPr>
        <w:pBdr>
          <w:top w:val="single" w:sz="4" w:space="1" w:color="auto"/>
          <w:left w:val="single" w:sz="4" w:space="4" w:color="auto"/>
          <w:bottom w:val="single" w:sz="4" w:space="1" w:color="auto"/>
          <w:right w:val="single" w:sz="4" w:space="4" w:color="auto"/>
        </w:pBdr>
        <w:jc w:val="center"/>
      </w:pPr>
      <w:r w:rsidRPr="00A66CB7">
        <w:rPr>
          <w:noProof/>
          <w:lang w:eastAsia="ru-RU"/>
        </w:rPr>
        <w:lastRenderedPageBreak/>
        <w:drawing>
          <wp:inline distT="0" distB="0" distL="0" distR="0">
            <wp:extent cx="6152515" cy="1781175"/>
            <wp:effectExtent l="19050" t="0" r="1968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3FCE" w:rsidRPr="003A5DCC" w:rsidRDefault="00533FCE" w:rsidP="003A5DCC">
      <w:pPr>
        <w:pBdr>
          <w:top w:val="single" w:sz="4" w:space="1" w:color="auto"/>
          <w:left w:val="single" w:sz="4" w:space="4" w:color="auto"/>
          <w:bottom w:val="single" w:sz="4" w:space="1" w:color="auto"/>
          <w:right w:val="single" w:sz="4" w:space="4" w:color="auto"/>
        </w:pBdr>
        <w:jc w:val="center"/>
        <w:rPr>
          <w:b/>
        </w:rPr>
      </w:pPr>
      <w:r w:rsidRPr="003A5DCC">
        <w:rPr>
          <w:b/>
        </w:rPr>
        <w:t xml:space="preserve">Рисунок </w:t>
      </w:r>
      <w:r w:rsidR="000C2D47" w:rsidRPr="003A5DCC">
        <w:rPr>
          <w:b/>
        </w:rPr>
        <w:t>4</w:t>
      </w:r>
      <w:r w:rsidRPr="003A5DCC">
        <w:rPr>
          <w:b/>
        </w:rPr>
        <w:t>.</w:t>
      </w:r>
      <w:r w:rsidR="003A5DCC">
        <w:rPr>
          <w:b/>
        </w:rPr>
        <w:t xml:space="preserve">  </w:t>
      </w:r>
      <w:r w:rsidRPr="003A5DCC">
        <w:rPr>
          <w:b/>
        </w:rPr>
        <w:t xml:space="preserve"> Целевые ориентиры стратегии в соответствии с рассмотренными сценариями развития  (новая редакция)</w:t>
      </w:r>
    </w:p>
    <w:sectPr w:rsidR="00533FCE" w:rsidRPr="003A5DCC" w:rsidSect="006F1C87">
      <w:pgSz w:w="16838" w:h="11906" w:orient="landscape"/>
      <w:pgMar w:top="709"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08" w:rsidRDefault="00BC6508" w:rsidP="00A572B4">
      <w:pPr>
        <w:spacing w:after="0" w:line="240" w:lineRule="auto"/>
      </w:pPr>
      <w:r>
        <w:separator/>
      </w:r>
    </w:p>
  </w:endnote>
  <w:endnote w:type="continuationSeparator" w:id="0">
    <w:p w:rsidR="00BC6508" w:rsidRDefault="00BC6508" w:rsidP="00A57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08" w:rsidRDefault="00BC6508" w:rsidP="00A572B4">
      <w:pPr>
        <w:spacing w:after="0" w:line="240" w:lineRule="auto"/>
      </w:pPr>
      <w:r>
        <w:separator/>
      </w:r>
    </w:p>
  </w:footnote>
  <w:footnote w:type="continuationSeparator" w:id="0">
    <w:p w:rsidR="00BC6508" w:rsidRDefault="00BC6508" w:rsidP="00A572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B0E"/>
    <w:multiLevelType w:val="multilevel"/>
    <w:tmpl w:val="2D96636A"/>
    <w:lvl w:ilvl="0">
      <w:start w:val="1"/>
      <w:numFmt w:val="decimal"/>
      <w:lvlText w:val="%1."/>
      <w:lvlJc w:val="left"/>
      <w:pPr>
        <w:ind w:left="720" w:hanging="360"/>
      </w:pPr>
      <w:rPr>
        <w:rFonts w:ascii="Times New Roman" w:hAnsi="Times New Roman" w:hint="default"/>
        <w:color w:val="auto"/>
        <w:sz w:val="26"/>
      </w:r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1">
    <w:nsid w:val="0F887F2F"/>
    <w:multiLevelType w:val="multilevel"/>
    <w:tmpl w:val="E584AED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24C25009"/>
    <w:multiLevelType w:val="multilevel"/>
    <w:tmpl w:val="49F0F90A"/>
    <w:lvl w:ilvl="0">
      <w:start w:val="1"/>
      <w:numFmt w:val="decimal"/>
      <w:lvlText w:val="%1.1."/>
      <w:lvlJc w:val="left"/>
      <w:pPr>
        <w:ind w:left="720" w:hanging="360"/>
      </w:pPr>
      <w:rPr>
        <w:rFonts w:hint="default"/>
        <w:color w:val="auto"/>
        <w:sz w:val="26"/>
      </w:r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nsid w:val="3DE703BE"/>
    <w:multiLevelType w:val="multilevel"/>
    <w:tmpl w:val="63C04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254E2E"/>
    <w:multiLevelType w:val="multilevel"/>
    <w:tmpl w:val="E584AED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082355B"/>
    <w:multiLevelType w:val="multilevel"/>
    <w:tmpl w:val="28B2777E"/>
    <w:lvl w:ilvl="0">
      <w:start w:val="1"/>
      <w:numFmt w:val="decimal"/>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645E3D76"/>
    <w:multiLevelType w:val="hybridMultilevel"/>
    <w:tmpl w:val="2B908A30"/>
    <w:lvl w:ilvl="0" w:tplc="0C08CBBA">
      <w:start w:val="1"/>
      <w:numFmt w:val="decimal"/>
      <w:lvlText w:val="1.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924DD"/>
    <w:multiLevelType w:val="multilevel"/>
    <w:tmpl w:val="E584AED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709C4FC4"/>
    <w:multiLevelType w:val="hybridMultilevel"/>
    <w:tmpl w:val="B7908440"/>
    <w:lvl w:ilvl="0" w:tplc="E1401158">
      <w:start w:val="1"/>
      <w:numFmt w:val="decimal"/>
      <w:lvlText w:val="1.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7"/>
  </w:num>
  <w:num w:numId="6">
    <w:abstractNumId w:val="4"/>
  </w:num>
  <w:num w:numId="7">
    <w:abstractNumId w:val="1"/>
  </w:num>
  <w:num w:numId="8">
    <w:abstractNumId w:val="6"/>
  </w:num>
  <w:num w:numId="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30CB"/>
    <w:rsid w:val="00002D28"/>
    <w:rsid w:val="000523E0"/>
    <w:rsid w:val="0005779C"/>
    <w:rsid w:val="000626E9"/>
    <w:rsid w:val="00071FA0"/>
    <w:rsid w:val="0008738B"/>
    <w:rsid w:val="00094043"/>
    <w:rsid w:val="0009567D"/>
    <w:rsid w:val="000A18E1"/>
    <w:rsid w:val="000A3419"/>
    <w:rsid w:val="000C0F3E"/>
    <w:rsid w:val="000C2D47"/>
    <w:rsid w:val="000E13F1"/>
    <w:rsid w:val="000F2EC6"/>
    <w:rsid w:val="000F6D96"/>
    <w:rsid w:val="001134D7"/>
    <w:rsid w:val="00122D46"/>
    <w:rsid w:val="00123EEE"/>
    <w:rsid w:val="00126262"/>
    <w:rsid w:val="00126E60"/>
    <w:rsid w:val="00133D7F"/>
    <w:rsid w:val="00133E96"/>
    <w:rsid w:val="001433C3"/>
    <w:rsid w:val="00155C66"/>
    <w:rsid w:val="00174C06"/>
    <w:rsid w:val="00176BB9"/>
    <w:rsid w:val="00183D1E"/>
    <w:rsid w:val="00185D59"/>
    <w:rsid w:val="00187D63"/>
    <w:rsid w:val="00190B0B"/>
    <w:rsid w:val="00194289"/>
    <w:rsid w:val="0019604F"/>
    <w:rsid w:val="001C46F4"/>
    <w:rsid w:val="001D08B0"/>
    <w:rsid w:val="001E1B52"/>
    <w:rsid w:val="001F3710"/>
    <w:rsid w:val="0020220B"/>
    <w:rsid w:val="00211A4B"/>
    <w:rsid w:val="00221237"/>
    <w:rsid w:val="002230BD"/>
    <w:rsid w:val="002325FA"/>
    <w:rsid w:val="002329B4"/>
    <w:rsid w:val="002332BA"/>
    <w:rsid w:val="002367BD"/>
    <w:rsid w:val="00241F7D"/>
    <w:rsid w:val="00251205"/>
    <w:rsid w:val="00255F5B"/>
    <w:rsid w:val="00256588"/>
    <w:rsid w:val="00260FE4"/>
    <w:rsid w:val="002647D6"/>
    <w:rsid w:val="00276AAA"/>
    <w:rsid w:val="002A73FB"/>
    <w:rsid w:val="002B7F8F"/>
    <w:rsid w:val="002C1953"/>
    <w:rsid w:val="002D552D"/>
    <w:rsid w:val="002D5D8C"/>
    <w:rsid w:val="002D75D3"/>
    <w:rsid w:val="002F1BDB"/>
    <w:rsid w:val="002F27FA"/>
    <w:rsid w:val="002F651C"/>
    <w:rsid w:val="00307AA6"/>
    <w:rsid w:val="00307DA0"/>
    <w:rsid w:val="00312659"/>
    <w:rsid w:val="003334AA"/>
    <w:rsid w:val="00334F58"/>
    <w:rsid w:val="00336109"/>
    <w:rsid w:val="00343474"/>
    <w:rsid w:val="00344A9D"/>
    <w:rsid w:val="00352BC8"/>
    <w:rsid w:val="00364A88"/>
    <w:rsid w:val="003674A8"/>
    <w:rsid w:val="00370F3D"/>
    <w:rsid w:val="00383093"/>
    <w:rsid w:val="00383725"/>
    <w:rsid w:val="00391CB9"/>
    <w:rsid w:val="0039507D"/>
    <w:rsid w:val="00396A2E"/>
    <w:rsid w:val="003A5DCC"/>
    <w:rsid w:val="003B0582"/>
    <w:rsid w:val="003B7796"/>
    <w:rsid w:val="003D5DE7"/>
    <w:rsid w:val="003E1ED2"/>
    <w:rsid w:val="003E2C13"/>
    <w:rsid w:val="003F1D25"/>
    <w:rsid w:val="003F6623"/>
    <w:rsid w:val="003F68BC"/>
    <w:rsid w:val="003F749E"/>
    <w:rsid w:val="00407F60"/>
    <w:rsid w:val="00410726"/>
    <w:rsid w:val="0041116C"/>
    <w:rsid w:val="00412E2B"/>
    <w:rsid w:val="004236F9"/>
    <w:rsid w:val="00423E95"/>
    <w:rsid w:val="00436246"/>
    <w:rsid w:val="00440C81"/>
    <w:rsid w:val="00442EB7"/>
    <w:rsid w:val="004452E4"/>
    <w:rsid w:val="004505CD"/>
    <w:rsid w:val="00467A4D"/>
    <w:rsid w:val="0047172D"/>
    <w:rsid w:val="00472138"/>
    <w:rsid w:val="004730CB"/>
    <w:rsid w:val="00475CC2"/>
    <w:rsid w:val="00483C2B"/>
    <w:rsid w:val="0048480C"/>
    <w:rsid w:val="00487065"/>
    <w:rsid w:val="00487637"/>
    <w:rsid w:val="00487A50"/>
    <w:rsid w:val="00487F66"/>
    <w:rsid w:val="004902AD"/>
    <w:rsid w:val="00492AE5"/>
    <w:rsid w:val="004A11DD"/>
    <w:rsid w:val="004A3977"/>
    <w:rsid w:val="004A49FC"/>
    <w:rsid w:val="004B698A"/>
    <w:rsid w:val="004E0AFC"/>
    <w:rsid w:val="004E167B"/>
    <w:rsid w:val="004E1865"/>
    <w:rsid w:val="00501663"/>
    <w:rsid w:val="005051DC"/>
    <w:rsid w:val="00511F74"/>
    <w:rsid w:val="0051739C"/>
    <w:rsid w:val="00517D53"/>
    <w:rsid w:val="00527644"/>
    <w:rsid w:val="00533FCE"/>
    <w:rsid w:val="0054328C"/>
    <w:rsid w:val="0055057B"/>
    <w:rsid w:val="00554398"/>
    <w:rsid w:val="005630DB"/>
    <w:rsid w:val="005716DB"/>
    <w:rsid w:val="00571C23"/>
    <w:rsid w:val="005722E0"/>
    <w:rsid w:val="00573A6C"/>
    <w:rsid w:val="00585812"/>
    <w:rsid w:val="00592B8B"/>
    <w:rsid w:val="005A2A78"/>
    <w:rsid w:val="005C18A2"/>
    <w:rsid w:val="005D24F0"/>
    <w:rsid w:val="005D5959"/>
    <w:rsid w:val="005E1FBB"/>
    <w:rsid w:val="005E7E09"/>
    <w:rsid w:val="005F28DC"/>
    <w:rsid w:val="005F2C64"/>
    <w:rsid w:val="005F4A8C"/>
    <w:rsid w:val="006017C9"/>
    <w:rsid w:val="00603481"/>
    <w:rsid w:val="006056CE"/>
    <w:rsid w:val="00615B5A"/>
    <w:rsid w:val="00615CEC"/>
    <w:rsid w:val="0062191C"/>
    <w:rsid w:val="0062606B"/>
    <w:rsid w:val="00626527"/>
    <w:rsid w:val="00636B21"/>
    <w:rsid w:val="00641BDC"/>
    <w:rsid w:val="00661EA7"/>
    <w:rsid w:val="00662C89"/>
    <w:rsid w:val="0066742D"/>
    <w:rsid w:val="0067259C"/>
    <w:rsid w:val="0068041C"/>
    <w:rsid w:val="006877A4"/>
    <w:rsid w:val="00692285"/>
    <w:rsid w:val="006A1DBF"/>
    <w:rsid w:val="006B2E19"/>
    <w:rsid w:val="006B3F9F"/>
    <w:rsid w:val="006C024D"/>
    <w:rsid w:val="006D0392"/>
    <w:rsid w:val="006D14CE"/>
    <w:rsid w:val="006D3433"/>
    <w:rsid w:val="006E3C1E"/>
    <w:rsid w:val="006E6A21"/>
    <w:rsid w:val="006E7A2E"/>
    <w:rsid w:val="006F1C87"/>
    <w:rsid w:val="006F53B1"/>
    <w:rsid w:val="00720D61"/>
    <w:rsid w:val="007221FF"/>
    <w:rsid w:val="00727C24"/>
    <w:rsid w:val="007328C6"/>
    <w:rsid w:val="007329FF"/>
    <w:rsid w:val="00737BEE"/>
    <w:rsid w:val="007439CB"/>
    <w:rsid w:val="007472E1"/>
    <w:rsid w:val="0075365D"/>
    <w:rsid w:val="00763FEE"/>
    <w:rsid w:val="00773E16"/>
    <w:rsid w:val="00783D8E"/>
    <w:rsid w:val="00784867"/>
    <w:rsid w:val="00785842"/>
    <w:rsid w:val="00797967"/>
    <w:rsid w:val="00797AF4"/>
    <w:rsid w:val="007C174C"/>
    <w:rsid w:val="007C6E52"/>
    <w:rsid w:val="007D1341"/>
    <w:rsid w:val="007E59B9"/>
    <w:rsid w:val="007E6CF2"/>
    <w:rsid w:val="007F05C9"/>
    <w:rsid w:val="007F2D51"/>
    <w:rsid w:val="00804982"/>
    <w:rsid w:val="0081710B"/>
    <w:rsid w:val="00823F33"/>
    <w:rsid w:val="00832359"/>
    <w:rsid w:val="00834CF0"/>
    <w:rsid w:val="008503B5"/>
    <w:rsid w:val="00875577"/>
    <w:rsid w:val="008759AA"/>
    <w:rsid w:val="00877AE5"/>
    <w:rsid w:val="00883923"/>
    <w:rsid w:val="00884008"/>
    <w:rsid w:val="00887285"/>
    <w:rsid w:val="008906B9"/>
    <w:rsid w:val="00896EDB"/>
    <w:rsid w:val="008976CB"/>
    <w:rsid w:val="008A08B3"/>
    <w:rsid w:val="008A0C16"/>
    <w:rsid w:val="008A1531"/>
    <w:rsid w:val="008A40FB"/>
    <w:rsid w:val="008B7BDF"/>
    <w:rsid w:val="008C213E"/>
    <w:rsid w:val="008D035A"/>
    <w:rsid w:val="008D435C"/>
    <w:rsid w:val="008D7E68"/>
    <w:rsid w:val="008E1E70"/>
    <w:rsid w:val="008E61B0"/>
    <w:rsid w:val="008E73CE"/>
    <w:rsid w:val="008F68ED"/>
    <w:rsid w:val="008F6945"/>
    <w:rsid w:val="00911C52"/>
    <w:rsid w:val="0091257C"/>
    <w:rsid w:val="00916CA8"/>
    <w:rsid w:val="00924EA4"/>
    <w:rsid w:val="00930021"/>
    <w:rsid w:val="00936048"/>
    <w:rsid w:val="009403EC"/>
    <w:rsid w:val="00942CA2"/>
    <w:rsid w:val="00964367"/>
    <w:rsid w:val="00975491"/>
    <w:rsid w:val="00980602"/>
    <w:rsid w:val="0098693F"/>
    <w:rsid w:val="009937CD"/>
    <w:rsid w:val="00993CF0"/>
    <w:rsid w:val="00996911"/>
    <w:rsid w:val="009A085F"/>
    <w:rsid w:val="009A4F1E"/>
    <w:rsid w:val="009A6A9D"/>
    <w:rsid w:val="009B131B"/>
    <w:rsid w:val="009B2C91"/>
    <w:rsid w:val="009C14E0"/>
    <w:rsid w:val="009C1D82"/>
    <w:rsid w:val="009D781F"/>
    <w:rsid w:val="009E4812"/>
    <w:rsid w:val="009E578B"/>
    <w:rsid w:val="009F089F"/>
    <w:rsid w:val="00A0496B"/>
    <w:rsid w:val="00A05FEB"/>
    <w:rsid w:val="00A134B8"/>
    <w:rsid w:val="00A16699"/>
    <w:rsid w:val="00A16B6B"/>
    <w:rsid w:val="00A31C8D"/>
    <w:rsid w:val="00A35CB3"/>
    <w:rsid w:val="00A420AF"/>
    <w:rsid w:val="00A47176"/>
    <w:rsid w:val="00A53ED1"/>
    <w:rsid w:val="00A572B4"/>
    <w:rsid w:val="00A66CB7"/>
    <w:rsid w:val="00A67193"/>
    <w:rsid w:val="00A71F5F"/>
    <w:rsid w:val="00A82B03"/>
    <w:rsid w:val="00A91B06"/>
    <w:rsid w:val="00A9297E"/>
    <w:rsid w:val="00A94881"/>
    <w:rsid w:val="00A95936"/>
    <w:rsid w:val="00AA09BF"/>
    <w:rsid w:val="00AA22B9"/>
    <w:rsid w:val="00AA5242"/>
    <w:rsid w:val="00AA5AEF"/>
    <w:rsid w:val="00AC61FE"/>
    <w:rsid w:val="00AD50F2"/>
    <w:rsid w:val="00AF3F66"/>
    <w:rsid w:val="00B010F1"/>
    <w:rsid w:val="00B10171"/>
    <w:rsid w:val="00B2078F"/>
    <w:rsid w:val="00B20E43"/>
    <w:rsid w:val="00B21982"/>
    <w:rsid w:val="00B25C10"/>
    <w:rsid w:val="00B32CEC"/>
    <w:rsid w:val="00B640F6"/>
    <w:rsid w:val="00B77C51"/>
    <w:rsid w:val="00B9207F"/>
    <w:rsid w:val="00BA78BE"/>
    <w:rsid w:val="00BB3011"/>
    <w:rsid w:val="00BC388C"/>
    <w:rsid w:val="00BC5B89"/>
    <w:rsid w:val="00BC624D"/>
    <w:rsid w:val="00BC6508"/>
    <w:rsid w:val="00BD2050"/>
    <w:rsid w:val="00BD33FD"/>
    <w:rsid w:val="00BD7313"/>
    <w:rsid w:val="00BF165C"/>
    <w:rsid w:val="00C011CF"/>
    <w:rsid w:val="00C07447"/>
    <w:rsid w:val="00C547C7"/>
    <w:rsid w:val="00C5723B"/>
    <w:rsid w:val="00C664F3"/>
    <w:rsid w:val="00C66886"/>
    <w:rsid w:val="00C67D96"/>
    <w:rsid w:val="00C8179C"/>
    <w:rsid w:val="00C81D17"/>
    <w:rsid w:val="00C93901"/>
    <w:rsid w:val="00C97389"/>
    <w:rsid w:val="00CA65B1"/>
    <w:rsid w:val="00CC2241"/>
    <w:rsid w:val="00CC2BF5"/>
    <w:rsid w:val="00CF1044"/>
    <w:rsid w:val="00D00DEC"/>
    <w:rsid w:val="00D05ACC"/>
    <w:rsid w:val="00D15E3A"/>
    <w:rsid w:val="00D17BD3"/>
    <w:rsid w:val="00D25596"/>
    <w:rsid w:val="00D27836"/>
    <w:rsid w:val="00D53849"/>
    <w:rsid w:val="00D5442C"/>
    <w:rsid w:val="00D573A7"/>
    <w:rsid w:val="00D777B6"/>
    <w:rsid w:val="00D80600"/>
    <w:rsid w:val="00D82B9C"/>
    <w:rsid w:val="00D95046"/>
    <w:rsid w:val="00D96933"/>
    <w:rsid w:val="00DA38FC"/>
    <w:rsid w:val="00DA5D44"/>
    <w:rsid w:val="00DC0F0D"/>
    <w:rsid w:val="00DC1C4C"/>
    <w:rsid w:val="00DC3272"/>
    <w:rsid w:val="00DE1B47"/>
    <w:rsid w:val="00DE222B"/>
    <w:rsid w:val="00DE32C9"/>
    <w:rsid w:val="00DE6A55"/>
    <w:rsid w:val="00DF5140"/>
    <w:rsid w:val="00E00629"/>
    <w:rsid w:val="00E04D6F"/>
    <w:rsid w:val="00E073EE"/>
    <w:rsid w:val="00E1210C"/>
    <w:rsid w:val="00E413B8"/>
    <w:rsid w:val="00E45D76"/>
    <w:rsid w:val="00E52371"/>
    <w:rsid w:val="00E6061A"/>
    <w:rsid w:val="00E620C7"/>
    <w:rsid w:val="00E64171"/>
    <w:rsid w:val="00E70A5D"/>
    <w:rsid w:val="00E80189"/>
    <w:rsid w:val="00E82E8A"/>
    <w:rsid w:val="00E843B5"/>
    <w:rsid w:val="00E9100D"/>
    <w:rsid w:val="00E9196F"/>
    <w:rsid w:val="00E95ACB"/>
    <w:rsid w:val="00E96CF5"/>
    <w:rsid w:val="00E96F19"/>
    <w:rsid w:val="00EA38A3"/>
    <w:rsid w:val="00EE3EF6"/>
    <w:rsid w:val="00EE4888"/>
    <w:rsid w:val="00EF5199"/>
    <w:rsid w:val="00F0299C"/>
    <w:rsid w:val="00F03932"/>
    <w:rsid w:val="00F10E3A"/>
    <w:rsid w:val="00F1640D"/>
    <w:rsid w:val="00F226F3"/>
    <w:rsid w:val="00F26234"/>
    <w:rsid w:val="00F27A93"/>
    <w:rsid w:val="00F31C49"/>
    <w:rsid w:val="00F4548D"/>
    <w:rsid w:val="00F50065"/>
    <w:rsid w:val="00F52E89"/>
    <w:rsid w:val="00F56AC6"/>
    <w:rsid w:val="00F61C00"/>
    <w:rsid w:val="00F717D0"/>
    <w:rsid w:val="00F75378"/>
    <w:rsid w:val="00F8640F"/>
    <w:rsid w:val="00FA04AF"/>
    <w:rsid w:val="00FA527C"/>
    <w:rsid w:val="00FB1DE3"/>
    <w:rsid w:val="00FC6614"/>
    <w:rsid w:val="00FD3E35"/>
    <w:rsid w:val="00FE1100"/>
    <w:rsid w:val="00FE727F"/>
    <w:rsid w:val="00FF1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0"/>
  </w:style>
  <w:style w:type="paragraph" w:styleId="1">
    <w:name w:val="heading 1"/>
    <w:basedOn w:val="a"/>
    <w:next w:val="a"/>
    <w:link w:val="10"/>
    <w:uiPriority w:val="9"/>
    <w:qFormat/>
    <w:rsid w:val="009A085F"/>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A572B4"/>
    <w:pPr>
      <w:keepNext/>
      <w:keepLines/>
      <w:spacing w:before="200" w:after="0"/>
      <w:outlineLvl w:val="1"/>
    </w:pPr>
    <w:rPr>
      <w:rFonts w:ascii="Times New Roman" w:eastAsiaTheme="majorEastAsia" w:hAnsi="Times New Roman" w:cstheme="majorBidi"/>
      <w:b/>
      <w:bCs/>
      <w:sz w:val="24"/>
      <w:szCs w:val="26"/>
    </w:rPr>
  </w:style>
  <w:style w:type="paragraph" w:styleId="3">
    <w:name w:val="heading 3"/>
    <w:basedOn w:val="a"/>
    <w:next w:val="a"/>
    <w:link w:val="30"/>
    <w:autoRedefine/>
    <w:uiPriority w:val="9"/>
    <w:unhideWhenUsed/>
    <w:qFormat/>
    <w:rsid w:val="00533FCE"/>
    <w:pPr>
      <w:keepNext/>
      <w:keepLines/>
      <w:widowControl w:val="0"/>
      <w:autoSpaceDE w:val="0"/>
      <w:autoSpaceDN w:val="0"/>
      <w:adjustRightInd w:val="0"/>
      <w:spacing w:before="120" w:after="120" w:line="240" w:lineRule="auto"/>
      <w:ind w:left="426"/>
      <w:jc w:val="both"/>
      <w:outlineLvl w:val="2"/>
    </w:pPr>
    <w:rPr>
      <w:rFonts w:asciiTheme="majorHAnsi" w:eastAsiaTheme="majorEastAsia" w:hAnsiTheme="majorHAnsi" w:cstheme="majorBidi"/>
      <w:bCs/>
      <w:sz w:val="24"/>
    </w:rPr>
  </w:style>
  <w:style w:type="paragraph" w:styleId="4">
    <w:name w:val="heading 4"/>
    <w:basedOn w:val="a"/>
    <w:next w:val="a"/>
    <w:link w:val="40"/>
    <w:uiPriority w:val="9"/>
    <w:unhideWhenUsed/>
    <w:qFormat/>
    <w:rsid w:val="00533FCE"/>
    <w:pPr>
      <w:keepNext/>
      <w:keepLines/>
      <w:widowControl w:val="0"/>
      <w:autoSpaceDE w:val="0"/>
      <w:autoSpaceDN w:val="0"/>
      <w:adjustRightInd w:val="0"/>
      <w:spacing w:before="120" w:after="120" w:line="240" w:lineRule="auto"/>
      <w:ind w:firstLine="624"/>
      <w:jc w:val="both"/>
      <w:outlineLvl w:val="3"/>
    </w:pPr>
    <w:rPr>
      <w:rFonts w:ascii="Times New Roman" w:eastAsiaTheme="majorEastAsia" w:hAnsi="Times New Roman" w:cstheme="majorBidi"/>
      <w:b/>
      <w:bCs/>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085F"/>
    <w:rPr>
      <w:rFonts w:ascii="Times New Roman" w:eastAsiaTheme="majorEastAsia" w:hAnsi="Times New Roman" w:cstheme="majorBidi"/>
      <w:b/>
      <w:bCs/>
      <w:sz w:val="24"/>
      <w:szCs w:val="28"/>
    </w:rPr>
  </w:style>
  <w:style w:type="character" w:customStyle="1" w:styleId="20">
    <w:name w:val="Заголовок 2 Знак"/>
    <w:basedOn w:val="a0"/>
    <w:link w:val="2"/>
    <w:uiPriority w:val="9"/>
    <w:rsid w:val="00A572B4"/>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533FCE"/>
    <w:rPr>
      <w:rFonts w:asciiTheme="majorHAnsi" w:eastAsiaTheme="majorEastAsia" w:hAnsiTheme="majorHAnsi" w:cstheme="majorBidi"/>
      <w:bCs/>
      <w:sz w:val="24"/>
    </w:rPr>
  </w:style>
  <w:style w:type="character" w:customStyle="1" w:styleId="40">
    <w:name w:val="Заголовок 4 Знак"/>
    <w:basedOn w:val="a0"/>
    <w:link w:val="4"/>
    <w:uiPriority w:val="9"/>
    <w:rsid w:val="00533FCE"/>
    <w:rPr>
      <w:rFonts w:ascii="Times New Roman" w:eastAsiaTheme="majorEastAsia" w:hAnsi="Times New Roman" w:cstheme="majorBidi"/>
      <w:b/>
      <w:bCs/>
      <w:i/>
      <w:iCs/>
      <w:sz w:val="24"/>
    </w:rPr>
  </w:style>
  <w:style w:type="table" w:customStyle="1" w:styleId="12">
    <w:name w:val="Сетка таблицы12"/>
    <w:basedOn w:val="a1"/>
    <w:next w:val="a3"/>
    <w:uiPriority w:val="59"/>
    <w:rsid w:val="00FD3E35"/>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8A2"/>
    <w:pPr>
      <w:ind w:left="720"/>
      <w:contextualSpacing/>
    </w:pPr>
  </w:style>
  <w:style w:type="character" w:customStyle="1" w:styleId="a5">
    <w:name w:val="Абзац списка Знак"/>
    <w:link w:val="a4"/>
    <w:uiPriority w:val="34"/>
    <w:rsid w:val="00E96CF5"/>
  </w:style>
  <w:style w:type="paragraph" w:customStyle="1" w:styleId="a6">
    <w:name w:val="Нормальный (таблица)"/>
    <w:basedOn w:val="a"/>
    <w:next w:val="a"/>
    <w:uiPriority w:val="99"/>
    <w:rsid w:val="00133D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D82B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9C"/>
    <w:rPr>
      <w:rFonts w:ascii="Tahoma" w:hAnsi="Tahoma" w:cs="Tahoma"/>
      <w:sz w:val="16"/>
      <w:szCs w:val="16"/>
    </w:rPr>
  </w:style>
  <w:style w:type="paragraph" w:styleId="a9">
    <w:name w:val="No Spacing"/>
    <w:uiPriority w:val="99"/>
    <w:qFormat/>
    <w:rsid w:val="005F4A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A71F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113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17BD3"/>
    <w:rPr>
      <w:rFonts w:ascii="Times New Roman" w:hAnsi="Times New Roman" w:cs="Times New Roman"/>
      <w:i/>
      <w:iCs/>
      <w:spacing w:val="30"/>
      <w:sz w:val="24"/>
      <w:szCs w:val="24"/>
    </w:rPr>
  </w:style>
  <w:style w:type="paragraph" w:styleId="aa">
    <w:name w:val="caption"/>
    <w:basedOn w:val="a"/>
    <w:next w:val="a"/>
    <w:uiPriority w:val="35"/>
    <w:unhideWhenUsed/>
    <w:qFormat/>
    <w:rsid w:val="002332BA"/>
    <w:pPr>
      <w:spacing w:line="240" w:lineRule="auto"/>
    </w:pPr>
    <w:rPr>
      <w:b/>
      <w:bCs/>
      <w:color w:val="4F81BD" w:themeColor="accent1"/>
      <w:sz w:val="18"/>
      <w:szCs w:val="18"/>
    </w:rPr>
  </w:style>
  <w:style w:type="table" w:customStyle="1" w:styleId="31">
    <w:name w:val="Сетка таблицы3"/>
    <w:basedOn w:val="a1"/>
    <w:next w:val="a3"/>
    <w:uiPriority w:val="39"/>
    <w:rsid w:val="00A94881"/>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A572B4"/>
    <w:pPr>
      <w:widowControl w:val="0"/>
      <w:autoSpaceDE w:val="0"/>
      <w:autoSpaceDN w:val="0"/>
      <w:adjustRightInd w:val="0"/>
      <w:spacing w:after="0" w:line="240" w:lineRule="auto"/>
      <w:ind w:firstLine="709"/>
      <w:jc w:val="both"/>
    </w:pPr>
    <w:rPr>
      <w:rFonts w:ascii="Times New Roman" w:hAnsi="Times New Roman"/>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A572B4"/>
    <w:rPr>
      <w:rFonts w:ascii="Times New Roman" w:hAnsi="Times New Roman"/>
      <w:sz w:val="20"/>
      <w:szCs w:val="20"/>
    </w:rPr>
  </w:style>
  <w:style w:type="character" w:styleId="ad">
    <w:name w:val="footnote reference"/>
    <w:aliases w:val="Знак сноски-FN,СНОСКА,сноска1,Знак сноски 1,Ciae niinee-FN,Referencia nota al pie,fr,Used by Word for Help footnote symbols,Ciae niinee 1"/>
    <w:rsid w:val="00A572B4"/>
    <w:rPr>
      <w:vertAlign w:val="superscript"/>
    </w:rPr>
  </w:style>
  <w:style w:type="paragraph" w:styleId="ae">
    <w:name w:val="header"/>
    <w:basedOn w:val="a"/>
    <w:link w:val="af"/>
    <w:uiPriority w:val="99"/>
    <w:unhideWhenUsed/>
    <w:rsid w:val="00AA5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5242"/>
  </w:style>
  <w:style w:type="paragraph" w:styleId="af0">
    <w:name w:val="footer"/>
    <w:basedOn w:val="a"/>
    <w:link w:val="af1"/>
    <w:uiPriority w:val="99"/>
    <w:unhideWhenUsed/>
    <w:rsid w:val="00AA5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242"/>
  </w:style>
  <w:style w:type="paragraph" w:styleId="21">
    <w:name w:val="toc 2"/>
    <w:basedOn w:val="a"/>
    <w:next w:val="a"/>
    <w:autoRedefine/>
    <w:uiPriority w:val="39"/>
    <w:unhideWhenUsed/>
    <w:rsid w:val="00DC0F0D"/>
    <w:pPr>
      <w:widowControl w:val="0"/>
      <w:autoSpaceDE w:val="0"/>
      <w:autoSpaceDN w:val="0"/>
      <w:adjustRightInd w:val="0"/>
      <w:spacing w:after="100" w:line="360" w:lineRule="auto"/>
      <w:ind w:left="240" w:firstLine="624"/>
      <w:jc w:val="both"/>
    </w:pPr>
    <w:rPr>
      <w:rFonts w:ascii="Times New Roman" w:hAnsi="Times New Roman"/>
      <w:sz w:val="24"/>
    </w:rPr>
  </w:style>
  <w:style w:type="character" w:styleId="af2">
    <w:name w:val="Hyperlink"/>
    <w:basedOn w:val="a0"/>
    <w:uiPriority w:val="99"/>
    <w:unhideWhenUsed/>
    <w:rsid w:val="00720D61"/>
    <w:rPr>
      <w:color w:val="0000FF" w:themeColor="hyperlink"/>
      <w:u w:val="single"/>
    </w:rPr>
  </w:style>
  <w:style w:type="paragraph" w:customStyle="1" w:styleId="Style19">
    <w:name w:val="Style19"/>
    <w:basedOn w:val="a"/>
    <w:uiPriority w:val="99"/>
    <w:rsid w:val="00720D61"/>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720D61"/>
    <w:rPr>
      <w:rFonts w:ascii="Times New Roman" w:hAnsi="Times New Roman" w:cs="Times New Roman" w:hint="default"/>
      <w:sz w:val="24"/>
      <w:szCs w:val="24"/>
    </w:rPr>
  </w:style>
  <w:style w:type="paragraph" w:customStyle="1" w:styleId="FORMATTEXT">
    <w:name w:val=".FORMATTEXT"/>
    <w:uiPriority w:val="99"/>
    <w:rsid w:val="00533F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3">
    <w:name w:val="Body Text"/>
    <w:basedOn w:val="a"/>
    <w:link w:val="af4"/>
    <w:uiPriority w:val="99"/>
    <w:semiHidden/>
    <w:unhideWhenUsed/>
    <w:rsid w:val="00533FCE"/>
    <w:pPr>
      <w:widowControl w:val="0"/>
      <w:autoSpaceDE w:val="0"/>
      <w:autoSpaceDN w:val="0"/>
      <w:adjustRightInd w:val="0"/>
      <w:spacing w:after="120" w:line="360" w:lineRule="auto"/>
      <w:ind w:firstLine="624"/>
      <w:jc w:val="both"/>
    </w:pPr>
    <w:rPr>
      <w:rFonts w:ascii="Times New Roman" w:hAnsi="Times New Roman"/>
      <w:sz w:val="24"/>
    </w:rPr>
  </w:style>
  <w:style w:type="character" w:customStyle="1" w:styleId="af4">
    <w:name w:val="Основной текст Знак"/>
    <w:basedOn w:val="a0"/>
    <w:link w:val="af3"/>
    <w:uiPriority w:val="99"/>
    <w:semiHidden/>
    <w:rsid w:val="00533FCE"/>
    <w:rPr>
      <w:rFonts w:ascii="Times New Roman" w:hAnsi="Times New Roman"/>
      <w:sz w:val="24"/>
    </w:rPr>
  </w:style>
  <w:style w:type="paragraph" w:styleId="af5">
    <w:name w:val="Normal (Web)"/>
    <w:basedOn w:val="a"/>
    <w:uiPriority w:val="99"/>
    <w:unhideWhenUsed/>
    <w:rsid w:val="005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obj">
    <w:name w:val="name_obj"/>
    <w:basedOn w:val="a0"/>
    <w:rsid w:val="00533FCE"/>
  </w:style>
  <w:style w:type="character" w:customStyle="1" w:styleId="flcb">
    <w:name w:val="flcb"/>
    <w:basedOn w:val="a0"/>
    <w:rsid w:val="00533FCE"/>
  </w:style>
  <w:style w:type="character" w:customStyle="1" w:styleId="apple-converted-space">
    <w:name w:val="apple-converted-space"/>
    <w:basedOn w:val="a0"/>
    <w:rsid w:val="00533FCE"/>
  </w:style>
  <w:style w:type="paragraph" w:customStyle="1" w:styleId="bl0">
    <w:name w:val="bl0"/>
    <w:basedOn w:val="a"/>
    <w:rsid w:val="0053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1">
    <w:name w:val="bl1"/>
    <w:basedOn w:val="a"/>
    <w:rsid w:val="005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533FCE"/>
    <w:rPr>
      <w:b/>
      <w:bCs/>
    </w:rPr>
  </w:style>
  <w:style w:type="character" w:styleId="af7">
    <w:name w:val="Emphasis"/>
    <w:basedOn w:val="a0"/>
    <w:uiPriority w:val="20"/>
    <w:qFormat/>
    <w:rsid w:val="00533FCE"/>
    <w:rPr>
      <w:i/>
      <w:iCs/>
    </w:rPr>
  </w:style>
  <w:style w:type="paragraph" w:styleId="af8">
    <w:name w:val="Plain Text"/>
    <w:basedOn w:val="a"/>
    <w:link w:val="af9"/>
    <w:uiPriority w:val="99"/>
    <w:unhideWhenUsed/>
    <w:rsid w:val="00533FCE"/>
    <w:pPr>
      <w:spacing w:after="0" w:line="240" w:lineRule="auto"/>
    </w:pPr>
    <w:rPr>
      <w:rFonts w:ascii="Calibri" w:hAnsi="Calibri"/>
      <w:szCs w:val="21"/>
    </w:rPr>
  </w:style>
  <w:style w:type="character" w:customStyle="1" w:styleId="af9">
    <w:name w:val="Текст Знак"/>
    <w:basedOn w:val="a0"/>
    <w:link w:val="af8"/>
    <w:uiPriority w:val="99"/>
    <w:rsid w:val="00533FCE"/>
    <w:rPr>
      <w:rFonts w:ascii="Calibri" w:hAnsi="Calibri"/>
      <w:szCs w:val="21"/>
    </w:rPr>
  </w:style>
  <w:style w:type="character" w:customStyle="1" w:styleId="FontStyle12">
    <w:name w:val="Font Style12"/>
    <w:basedOn w:val="a0"/>
    <w:uiPriority w:val="99"/>
    <w:rsid w:val="00533FCE"/>
    <w:rPr>
      <w:rFonts w:ascii="Times New Roman" w:hAnsi="Times New Roman" w:cs="Times New Roman" w:hint="default"/>
      <w:sz w:val="22"/>
      <w:szCs w:val="22"/>
    </w:rPr>
  </w:style>
  <w:style w:type="character" w:customStyle="1" w:styleId="afa">
    <w:name w:val="Текст примечания Знак"/>
    <w:basedOn w:val="a0"/>
    <w:link w:val="afb"/>
    <w:uiPriority w:val="99"/>
    <w:semiHidden/>
    <w:rsid w:val="00533FCE"/>
    <w:rPr>
      <w:rFonts w:ascii="Times New Roman" w:hAnsi="Times New Roman"/>
      <w:sz w:val="20"/>
      <w:szCs w:val="20"/>
    </w:rPr>
  </w:style>
  <w:style w:type="paragraph" w:styleId="afb">
    <w:name w:val="annotation text"/>
    <w:basedOn w:val="a"/>
    <w:link w:val="afa"/>
    <w:uiPriority w:val="99"/>
    <w:semiHidden/>
    <w:unhideWhenUsed/>
    <w:rsid w:val="00533FCE"/>
    <w:pPr>
      <w:widowControl w:val="0"/>
      <w:autoSpaceDE w:val="0"/>
      <w:autoSpaceDN w:val="0"/>
      <w:adjustRightInd w:val="0"/>
      <w:spacing w:after="0" w:line="240" w:lineRule="auto"/>
      <w:ind w:firstLine="624"/>
      <w:jc w:val="both"/>
    </w:pPr>
    <w:rPr>
      <w:rFonts w:ascii="Times New Roman" w:hAnsi="Times New Roman"/>
      <w:sz w:val="20"/>
      <w:szCs w:val="20"/>
    </w:rPr>
  </w:style>
  <w:style w:type="character" w:customStyle="1" w:styleId="afc">
    <w:name w:val="Тема примечания Знак"/>
    <w:basedOn w:val="afa"/>
    <w:link w:val="afd"/>
    <w:uiPriority w:val="99"/>
    <w:semiHidden/>
    <w:rsid w:val="00533FCE"/>
    <w:rPr>
      <w:b/>
      <w:bCs/>
    </w:rPr>
  </w:style>
  <w:style w:type="paragraph" w:styleId="afd">
    <w:name w:val="annotation subject"/>
    <w:basedOn w:val="afb"/>
    <w:next w:val="afb"/>
    <w:link w:val="afc"/>
    <w:uiPriority w:val="99"/>
    <w:semiHidden/>
    <w:unhideWhenUsed/>
    <w:rsid w:val="00533FCE"/>
    <w:rPr>
      <w:b/>
      <w:bCs/>
    </w:rPr>
  </w:style>
  <w:style w:type="character" w:customStyle="1" w:styleId="egrowth">
    <w:name w:val="e_growth"/>
    <w:basedOn w:val="a0"/>
    <w:rsid w:val="00533FCE"/>
  </w:style>
  <w:style w:type="paragraph" w:customStyle="1" w:styleId="11">
    <w:name w:val="Стиль1"/>
    <w:basedOn w:val="a"/>
    <w:rsid w:val="00533FC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e">
    <w:name w:val="Таблица_номер_таблицы"/>
    <w:link w:val="aff"/>
    <w:uiPriority w:val="99"/>
    <w:rsid w:val="00533FCE"/>
    <w:pPr>
      <w:keepNext/>
      <w:spacing w:after="0" w:line="240" w:lineRule="auto"/>
      <w:jc w:val="right"/>
    </w:pPr>
    <w:rPr>
      <w:rFonts w:ascii="Times New Roman" w:eastAsia="Times New Roman" w:hAnsi="Times New Roman" w:cs="Times New Roman"/>
      <w:sz w:val="24"/>
      <w:szCs w:val="24"/>
      <w:lang w:eastAsia="ru-RU"/>
    </w:rPr>
  </w:style>
  <w:style w:type="character" w:customStyle="1" w:styleId="aff">
    <w:name w:val="Таблица_номер_таблицы Знак"/>
    <w:basedOn w:val="a0"/>
    <w:link w:val="afe"/>
    <w:uiPriority w:val="99"/>
    <w:locked/>
    <w:rsid w:val="00533FCE"/>
    <w:rPr>
      <w:rFonts w:ascii="Times New Roman" w:eastAsia="Times New Roman" w:hAnsi="Times New Roman" w:cs="Times New Roman"/>
      <w:sz w:val="24"/>
      <w:szCs w:val="24"/>
      <w:lang w:eastAsia="ru-RU"/>
    </w:rPr>
  </w:style>
  <w:style w:type="paragraph" w:customStyle="1" w:styleId="ConsPlusNormal0">
    <w:name w:val="ConsPlusNormal"/>
    <w:rsid w:val="00533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TML">
    <w:name w:val="Стандартный HTML Знак"/>
    <w:basedOn w:val="a0"/>
    <w:link w:val="HTML0"/>
    <w:uiPriority w:val="99"/>
    <w:semiHidden/>
    <w:rsid w:val="00533FCE"/>
    <w:rPr>
      <w:rFonts w:ascii="Courier New" w:hAnsi="Courier New" w:cs="Courier New"/>
      <w:sz w:val="20"/>
      <w:szCs w:val="20"/>
      <w:lang w:eastAsia="ru-RU"/>
    </w:rPr>
  </w:style>
  <w:style w:type="paragraph" w:styleId="HTML0">
    <w:name w:val="HTML Preformatted"/>
    <w:basedOn w:val="a"/>
    <w:link w:val="HTML"/>
    <w:uiPriority w:val="99"/>
    <w:semiHidden/>
    <w:unhideWhenUsed/>
    <w:rsid w:val="0053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paragraph" w:styleId="22">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23"/>
    <w:rsid w:val="00533FC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0"/>
    <w:link w:val="22"/>
    <w:rsid w:val="00533FCE"/>
    <w:rPr>
      <w:rFonts w:ascii="Times New Roman" w:eastAsia="Times New Roman" w:hAnsi="Times New Roman" w:cs="Times New Roman"/>
      <w:sz w:val="24"/>
      <w:szCs w:val="24"/>
      <w:lang w:eastAsia="ru-RU"/>
    </w:rPr>
  </w:style>
  <w:style w:type="paragraph" w:styleId="24">
    <w:name w:val="Body Text 2"/>
    <w:basedOn w:val="a"/>
    <w:link w:val="25"/>
    <w:rsid w:val="00533FCE"/>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533FCE"/>
    <w:rPr>
      <w:rFonts w:ascii="Times New Roman" w:eastAsia="Times New Roman" w:hAnsi="Times New Roman" w:cs="Times New Roman"/>
      <w:sz w:val="24"/>
      <w:szCs w:val="24"/>
      <w:lang w:eastAsia="ru-RU"/>
    </w:rPr>
  </w:style>
  <w:style w:type="paragraph" w:customStyle="1" w:styleId="ConsPlusTitle">
    <w:name w:val="ConsPlusTitle"/>
    <w:rsid w:val="00533F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Таблица шапка"/>
    <w:basedOn w:val="a"/>
    <w:uiPriority w:val="99"/>
    <w:qFormat/>
    <w:rsid w:val="00533FCE"/>
    <w:pPr>
      <w:tabs>
        <w:tab w:val="left" w:pos="708"/>
        <w:tab w:val="center" w:pos="4677"/>
        <w:tab w:val="right" w:pos="9355"/>
      </w:tabs>
      <w:spacing w:before="60" w:after="0" w:line="240" w:lineRule="auto"/>
      <w:contextualSpacing/>
      <w:jc w:val="center"/>
    </w:pPr>
    <w:rPr>
      <w:rFonts w:ascii="Times New Roman" w:eastAsia="Calibri" w:hAnsi="Times New Roman" w:cs="Times New Roman"/>
      <w:b/>
      <w:sz w:val="20"/>
      <w:szCs w:val="20"/>
    </w:rPr>
  </w:style>
  <w:style w:type="paragraph" w:customStyle="1" w:styleId="aff1">
    <w:name w:val="Таблица категория"/>
    <w:basedOn w:val="a"/>
    <w:qFormat/>
    <w:rsid w:val="00533FCE"/>
    <w:pPr>
      <w:tabs>
        <w:tab w:val="left" w:pos="708"/>
        <w:tab w:val="center" w:pos="4677"/>
        <w:tab w:val="right" w:pos="9355"/>
      </w:tabs>
      <w:spacing w:before="60" w:after="0" w:line="240" w:lineRule="auto"/>
      <w:contextualSpacing/>
    </w:pPr>
    <w:rPr>
      <w:rFonts w:ascii="Times New Roman" w:eastAsia="Calibri" w:hAnsi="Times New Roman" w:cs="Times New Roman"/>
      <w:sz w:val="20"/>
      <w:szCs w:val="20"/>
    </w:rPr>
  </w:style>
  <w:style w:type="character" w:customStyle="1" w:styleId="aff2">
    <w:name w:val="Текст концевой сноски Знак"/>
    <w:basedOn w:val="a0"/>
    <w:link w:val="aff3"/>
    <w:uiPriority w:val="99"/>
    <w:semiHidden/>
    <w:rsid w:val="00533FCE"/>
    <w:rPr>
      <w:rFonts w:ascii="Times New Roman" w:hAnsi="Times New Roman"/>
      <w:sz w:val="20"/>
      <w:szCs w:val="20"/>
    </w:rPr>
  </w:style>
  <w:style w:type="paragraph" w:styleId="aff3">
    <w:name w:val="endnote text"/>
    <w:basedOn w:val="a"/>
    <w:link w:val="aff2"/>
    <w:uiPriority w:val="99"/>
    <w:semiHidden/>
    <w:unhideWhenUsed/>
    <w:rsid w:val="00533FCE"/>
    <w:pPr>
      <w:widowControl w:val="0"/>
      <w:autoSpaceDE w:val="0"/>
      <w:autoSpaceDN w:val="0"/>
      <w:adjustRightInd w:val="0"/>
      <w:spacing w:after="0" w:line="240" w:lineRule="auto"/>
      <w:ind w:firstLine="624"/>
      <w:jc w:val="both"/>
    </w:pPr>
    <w:rPr>
      <w:rFonts w:ascii="Times New Roman" w:hAnsi="Times New Roman"/>
      <w:sz w:val="20"/>
      <w:szCs w:val="20"/>
    </w:rPr>
  </w:style>
  <w:style w:type="paragraph" w:styleId="aff4">
    <w:name w:val="TOC Heading"/>
    <w:basedOn w:val="1"/>
    <w:next w:val="a"/>
    <w:uiPriority w:val="39"/>
    <w:unhideWhenUsed/>
    <w:qFormat/>
    <w:rsid w:val="00533FCE"/>
    <w:pPr>
      <w:outlineLvl w:val="9"/>
    </w:pPr>
    <w:rPr>
      <w:rFonts w:asciiTheme="majorHAnsi" w:hAnsiTheme="majorHAnsi"/>
      <w:color w:val="365F91" w:themeColor="accent1" w:themeShade="BF"/>
      <w:sz w:val="28"/>
      <w:lang w:eastAsia="ru-RU"/>
    </w:rPr>
  </w:style>
  <w:style w:type="paragraph" w:styleId="aff5">
    <w:name w:val="Subtitle"/>
    <w:basedOn w:val="a"/>
    <w:next w:val="a"/>
    <w:link w:val="aff6"/>
    <w:uiPriority w:val="11"/>
    <w:qFormat/>
    <w:rsid w:val="00533FCE"/>
    <w:pPr>
      <w:widowControl w:val="0"/>
      <w:numPr>
        <w:ilvl w:val="1"/>
      </w:numPr>
      <w:autoSpaceDE w:val="0"/>
      <w:autoSpaceDN w:val="0"/>
      <w:adjustRightInd w:val="0"/>
      <w:spacing w:before="120" w:after="120" w:line="240" w:lineRule="auto"/>
      <w:ind w:firstLine="567"/>
      <w:jc w:val="both"/>
    </w:pPr>
    <w:rPr>
      <w:rFonts w:ascii="Times New Roman" w:eastAsiaTheme="majorEastAsia" w:hAnsi="Times New Roman" w:cstheme="majorBidi"/>
      <w:b/>
      <w:i/>
      <w:iCs/>
      <w:spacing w:val="15"/>
      <w:sz w:val="24"/>
      <w:szCs w:val="24"/>
    </w:rPr>
  </w:style>
  <w:style w:type="character" w:customStyle="1" w:styleId="aff6">
    <w:name w:val="Подзаголовок Знак"/>
    <w:basedOn w:val="a0"/>
    <w:link w:val="aff5"/>
    <w:uiPriority w:val="11"/>
    <w:rsid w:val="00533FCE"/>
    <w:rPr>
      <w:rFonts w:ascii="Times New Roman" w:eastAsiaTheme="majorEastAsia" w:hAnsi="Times New Roman" w:cstheme="majorBidi"/>
      <w:b/>
      <w:i/>
      <w:iCs/>
      <w:spacing w:val="15"/>
      <w:sz w:val="24"/>
      <w:szCs w:val="24"/>
    </w:rPr>
  </w:style>
  <w:style w:type="character" w:styleId="aff7">
    <w:name w:val="Subtle Emphasis"/>
    <w:basedOn w:val="a0"/>
    <w:uiPriority w:val="19"/>
    <w:qFormat/>
    <w:rsid w:val="00533FCE"/>
    <w:rPr>
      <w:i/>
      <w:iCs/>
      <w:color w:val="808080" w:themeColor="text1" w:themeTint="7F"/>
    </w:rPr>
  </w:style>
  <w:style w:type="paragraph" w:styleId="32">
    <w:name w:val="toc 3"/>
    <w:basedOn w:val="a"/>
    <w:next w:val="a"/>
    <w:autoRedefine/>
    <w:uiPriority w:val="39"/>
    <w:unhideWhenUsed/>
    <w:rsid w:val="00533FCE"/>
    <w:pPr>
      <w:widowControl w:val="0"/>
      <w:autoSpaceDE w:val="0"/>
      <w:autoSpaceDN w:val="0"/>
      <w:adjustRightInd w:val="0"/>
      <w:spacing w:after="100" w:line="360" w:lineRule="auto"/>
      <w:ind w:left="480" w:firstLine="624"/>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00"/>
  </w:style>
  <w:style w:type="paragraph" w:styleId="1">
    <w:name w:val="heading 1"/>
    <w:basedOn w:val="a"/>
    <w:next w:val="a"/>
    <w:link w:val="10"/>
    <w:uiPriority w:val="9"/>
    <w:qFormat/>
    <w:rsid w:val="009A085F"/>
    <w:pPr>
      <w:keepNext/>
      <w:keepLines/>
      <w:spacing w:before="480" w:after="0"/>
      <w:outlineLvl w:val="0"/>
    </w:pPr>
    <w:rPr>
      <w:rFonts w:ascii="Times New Roman" w:eastAsiaTheme="majorEastAsia" w:hAnsi="Times New Roman" w:cstheme="majorBidi"/>
      <w:b/>
      <w:bCs/>
      <w:sz w:val="24"/>
      <w:szCs w:val="28"/>
    </w:rPr>
  </w:style>
  <w:style w:type="paragraph" w:styleId="2">
    <w:name w:val="heading 2"/>
    <w:basedOn w:val="a"/>
    <w:next w:val="a"/>
    <w:link w:val="20"/>
    <w:uiPriority w:val="9"/>
    <w:unhideWhenUsed/>
    <w:qFormat/>
    <w:rsid w:val="00A572B4"/>
    <w:pPr>
      <w:keepNext/>
      <w:keepLines/>
      <w:spacing w:before="200" w:after="0"/>
      <w:outlineLvl w:val="1"/>
    </w:pPr>
    <w:rPr>
      <w:rFonts w:ascii="Times New Roman" w:eastAsiaTheme="majorEastAsia" w:hAnsi="Times New Roman" w:cstheme="majorBidi"/>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FD3E35"/>
    <w:pPr>
      <w:widowControl w:val="0"/>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FD3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C18A2"/>
    <w:pPr>
      <w:ind w:left="720"/>
      <w:contextualSpacing/>
    </w:pPr>
  </w:style>
  <w:style w:type="character" w:customStyle="1" w:styleId="a5">
    <w:name w:val="Абзац списка Знак"/>
    <w:link w:val="a4"/>
    <w:uiPriority w:val="34"/>
    <w:rsid w:val="00E96CF5"/>
  </w:style>
  <w:style w:type="paragraph" w:customStyle="1" w:styleId="a6">
    <w:name w:val="Нормальный (таблица)"/>
    <w:basedOn w:val="a"/>
    <w:next w:val="a"/>
    <w:uiPriority w:val="99"/>
    <w:rsid w:val="00133D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Balloon Text"/>
    <w:basedOn w:val="a"/>
    <w:link w:val="a8"/>
    <w:uiPriority w:val="99"/>
    <w:semiHidden/>
    <w:unhideWhenUsed/>
    <w:rsid w:val="00D82B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B9C"/>
    <w:rPr>
      <w:rFonts w:ascii="Tahoma" w:hAnsi="Tahoma" w:cs="Tahoma"/>
      <w:sz w:val="16"/>
      <w:szCs w:val="16"/>
    </w:rPr>
  </w:style>
  <w:style w:type="paragraph" w:styleId="a9">
    <w:name w:val="No Spacing"/>
    <w:uiPriority w:val="1"/>
    <w:qFormat/>
    <w:rsid w:val="005F4A8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basedOn w:val="a"/>
    <w:uiPriority w:val="99"/>
    <w:rsid w:val="00A71F5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1134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D17BD3"/>
    <w:rPr>
      <w:rFonts w:ascii="Times New Roman" w:hAnsi="Times New Roman" w:cs="Times New Roman"/>
      <w:i/>
      <w:iCs/>
      <w:spacing w:val="30"/>
      <w:sz w:val="24"/>
      <w:szCs w:val="24"/>
    </w:rPr>
  </w:style>
  <w:style w:type="character" w:customStyle="1" w:styleId="10">
    <w:name w:val="Заголовок 1 Знак"/>
    <w:basedOn w:val="a0"/>
    <w:link w:val="1"/>
    <w:uiPriority w:val="9"/>
    <w:rsid w:val="009A085F"/>
    <w:rPr>
      <w:rFonts w:ascii="Times New Roman" w:eastAsiaTheme="majorEastAsia" w:hAnsi="Times New Roman" w:cstheme="majorBidi"/>
      <w:b/>
      <w:bCs/>
      <w:sz w:val="24"/>
      <w:szCs w:val="28"/>
    </w:rPr>
  </w:style>
  <w:style w:type="paragraph" w:styleId="aa">
    <w:name w:val="caption"/>
    <w:basedOn w:val="a"/>
    <w:next w:val="a"/>
    <w:uiPriority w:val="35"/>
    <w:unhideWhenUsed/>
    <w:qFormat/>
    <w:rsid w:val="002332BA"/>
    <w:pPr>
      <w:spacing w:line="240" w:lineRule="auto"/>
    </w:pPr>
    <w:rPr>
      <w:b/>
      <w:bCs/>
      <w:color w:val="4F81BD" w:themeColor="accent1"/>
      <w:sz w:val="18"/>
      <w:szCs w:val="18"/>
    </w:rPr>
  </w:style>
  <w:style w:type="table" w:customStyle="1" w:styleId="3">
    <w:name w:val="Сетка таблицы3"/>
    <w:basedOn w:val="a1"/>
    <w:next w:val="a3"/>
    <w:uiPriority w:val="39"/>
    <w:rsid w:val="00A94881"/>
    <w:pPr>
      <w:spacing w:after="0" w:line="240" w:lineRule="auto"/>
    </w:pPr>
    <w:rPr>
      <w:rFonts w:eastAsia="PMingLiU"/>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572B4"/>
    <w:rPr>
      <w:rFonts w:ascii="Times New Roman" w:eastAsiaTheme="majorEastAsia" w:hAnsi="Times New Roman" w:cstheme="majorBidi"/>
      <w:b/>
      <w:bCs/>
      <w:sz w:val="24"/>
      <w:szCs w:val="26"/>
    </w:rPr>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A572B4"/>
    <w:pPr>
      <w:widowControl w:val="0"/>
      <w:autoSpaceDE w:val="0"/>
      <w:autoSpaceDN w:val="0"/>
      <w:adjustRightInd w:val="0"/>
      <w:spacing w:after="0" w:line="240" w:lineRule="auto"/>
      <w:ind w:firstLine="709"/>
      <w:jc w:val="both"/>
    </w:pPr>
    <w:rPr>
      <w:rFonts w:ascii="Times New Roman" w:hAnsi="Times New Roman"/>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A572B4"/>
    <w:rPr>
      <w:rFonts w:ascii="Times New Roman" w:hAnsi="Times New Roman"/>
      <w:sz w:val="20"/>
      <w:szCs w:val="20"/>
    </w:rPr>
  </w:style>
  <w:style w:type="character" w:styleId="ad">
    <w:name w:val="footnote reference"/>
    <w:aliases w:val="Знак сноски-FN,СНОСКА,сноска1"/>
    <w:uiPriority w:val="99"/>
    <w:rsid w:val="00A572B4"/>
    <w:rPr>
      <w:vertAlign w:val="superscript"/>
    </w:rPr>
  </w:style>
  <w:style w:type="paragraph" w:styleId="ae">
    <w:name w:val="header"/>
    <w:basedOn w:val="a"/>
    <w:link w:val="af"/>
    <w:uiPriority w:val="99"/>
    <w:unhideWhenUsed/>
    <w:rsid w:val="00AA524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A5242"/>
  </w:style>
  <w:style w:type="paragraph" w:styleId="af0">
    <w:name w:val="footer"/>
    <w:basedOn w:val="a"/>
    <w:link w:val="af1"/>
    <w:uiPriority w:val="99"/>
    <w:unhideWhenUsed/>
    <w:rsid w:val="00AA524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A5242"/>
  </w:style>
</w:styles>
</file>

<file path=word/webSettings.xml><?xml version="1.0" encoding="utf-8"?>
<w:webSettings xmlns:r="http://schemas.openxmlformats.org/officeDocument/2006/relationships" xmlns:w="http://schemas.openxmlformats.org/wordprocessingml/2006/main">
  <w:divs>
    <w:div w:id="21983594">
      <w:bodyDiv w:val="1"/>
      <w:marLeft w:val="0"/>
      <w:marRight w:val="0"/>
      <w:marTop w:val="0"/>
      <w:marBottom w:val="0"/>
      <w:divBdr>
        <w:top w:val="none" w:sz="0" w:space="0" w:color="auto"/>
        <w:left w:val="none" w:sz="0" w:space="0" w:color="auto"/>
        <w:bottom w:val="none" w:sz="0" w:space="0" w:color="auto"/>
        <w:right w:val="none" w:sz="0" w:space="0" w:color="auto"/>
      </w:divBdr>
    </w:div>
    <w:div w:id="130904373">
      <w:bodyDiv w:val="1"/>
      <w:marLeft w:val="0"/>
      <w:marRight w:val="0"/>
      <w:marTop w:val="0"/>
      <w:marBottom w:val="0"/>
      <w:divBdr>
        <w:top w:val="none" w:sz="0" w:space="0" w:color="auto"/>
        <w:left w:val="none" w:sz="0" w:space="0" w:color="auto"/>
        <w:bottom w:val="none" w:sz="0" w:space="0" w:color="auto"/>
        <w:right w:val="none" w:sz="0" w:space="0" w:color="auto"/>
      </w:divBdr>
    </w:div>
    <w:div w:id="157162204">
      <w:bodyDiv w:val="1"/>
      <w:marLeft w:val="0"/>
      <w:marRight w:val="0"/>
      <w:marTop w:val="0"/>
      <w:marBottom w:val="0"/>
      <w:divBdr>
        <w:top w:val="none" w:sz="0" w:space="0" w:color="auto"/>
        <w:left w:val="none" w:sz="0" w:space="0" w:color="auto"/>
        <w:bottom w:val="none" w:sz="0" w:space="0" w:color="auto"/>
        <w:right w:val="none" w:sz="0" w:space="0" w:color="auto"/>
      </w:divBdr>
    </w:div>
    <w:div w:id="165634992">
      <w:bodyDiv w:val="1"/>
      <w:marLeft w:val="0"/>
      <w:marRight w:val="0"/>
      <w:marTop w:val="0"/>
      <w:marBottom w:val="0"/>
      <w:divBdr>
        <w:top w:val="none" w:sz="0" w:space="0" w:color="auto"/>
        <w:left w:val="none" w:sz="0" w:space="0" w:color="auto"/>
        <w:bottom w:val="none" w:sz="0" w:space="0" w:color="auto"/>
        <w:right w:val="none" w:sz="0" w:space="0" w:color="auto"/>
      </w:divBdr>
    </w:div>
    <w:div w:id="215943117">
      <w:bodyDiv w:val="1"/>
      <w:marLeft w:val="0"/>
      <w:marRight w:val="0"/>
      <w:marTop w:val="0"/>
      <w:marBottom w:val="0"/>
      <w:divBdr>
        <w:top w:val="none" w:sz="0" w:space="0" w:color="auto"/>
        <w:left w:val="none" w:sz="0" w:space="0" w:color="auto"/>
        <w:bottom w:val="none" w:sz="0" w:space="0" w:color="auto"/>
        <w:right w:val="none" w:sz="0" w:space="0" w:color="auto"/>
      </w:divBdr>
    </w:div>
    <w:div w:id="231231963">
      <w:bodyDiv w:val="1"/>
      <w:marLeft w:val="0"/>
      <w:marRight w:val="0"/>
      <w:marTop w:val="0"/>
      <w:marBottom w:val="0"/>
      <w:divBdr>
        <w:top w:val="none" w:sz="0" w:space="0" w:color="auto"/>
        <w:left w:val="none" w:sz="0" w:space="0" w:color="auto"/>
        <w:bottom w:val="none" w:sz="0" w:space="0" w:color="auto"/>
        <w:right w:val="none" w:sz="0" w:space="0" w:color="auto"/>
      </w:divBdr>
    </w:div>
    <w:div w:id="250041522">
      <w:bodyDiv w:val="1"/>
      <w:marLeft w:val="0"/>
      <w:marRight w:val="0"/>
      <w:marTop w:val="0"/>
      <w:marBottom w:val="0"/>
      <w:divBdr>
        <w:top w:val="none" w:sz="0" w:space="0" w:color="auto"/>
        <w:left w:val="none" w:sz="0" w:space="0" w:color="auto"/>
        <w:bottom w:val="none" w:sz="0" w:space="0" w:color="auto"/>
        <w:right w:val="none" w:sz="0" w:space="0" w:color="auto"/>
      </w:divBdr>
    </w:div>
    <w:div w:id="260644923">
      <w:bodyDiv w:val="1"/>
      <w:marLeft w:val="0"/>
      <w:marRight w:val="0"/>
      <w:marTop w:val="0"/>
      <w:marBottom w:val="0"/>
      <w:divBdr>
        <w:top w:val="none" w:sz="0" w:space="0" w:color="auto"/>
        <w:left w:val="none" w:sz="0" w:space="0" w:color="auto"/>
        <w:bottom w:val="none" w:sz="0" w:space="0" w:color="auto"/>
        <w:right w:val="none" w:sz="0" w:space="0" w:color="auto"/>
      </w:divBdr>
    </w:div>
    <w:div w:id="466514916">
      <w:bodyDiv w:val="1"/>
      <w:marLeft w:val="0"/>
      <w:marRight w:val="0"/>
      <w:marTop w:val="0"/>
      <w:marBottom w:val="0"/>
      <w:divBdr>
        <w:top w:val="none" w:sz="0" w:space="0" w:color="auto"/>
        <w:left w:val="none" w:sz="0" w:space="0" w:color="auto"/>
        <w:bottom w:val="none" w:sz="0" w:space="0" w:color="auto"/>
        <w:right w:val="none" w:sz="0" w:space="0" w:color="auto"/>
      </w:divBdr>
    </w:div>
    <w:div w:id="520440983">
      <w:bodyDiv w:val="1"/>
      <w:marLeft w:val="0"/>
      <w:marRight w:val="0"/>
      <w:marTop w:val="0"/>
      <w:marBottom w:val="0"/>
      <w:divBdr>
        <w:top w:val="none" w:sz="0" w:space="0" w:color="auto"/>
        <w:left w:val="none" w:sz="0" w:space="0" w:color="auto"/>
        <w:bottom w:val="none" w:sz="0" w:space="0" w:color="auto"/>
        <w:right w:val="none" w:sz="0" w:space="0" w:color="auto"/>
      </w:divBdr>
    </w:div>
    <w:div w:id="572544410">
      <w:bodyDiv w:val="1"/>
      <w:marLeft w:val="0"/>
      <w:marRight w:val="0"/>
      <w:marTop w:val="0"/>
      <w:marBottom w:val="0"/>
      <w:divBdr>
        <w:top w:val="none" w:sz="0" w:space="0" w:color="auto"/>
        <w:left w:val="none" w:sz="0" w:space="0" w:color="auto"/>
        <w:bottom w:val="none" w:sz="0" w:space="0" w:color="auto"/>
        <w:right w:val="none" w:sz="0" w:space="0" w:color="auto"/>
      </w:divBdr>
    </w:div>
    <w:div w:id="599997016">
      <w:bodyDiv w:val="1"/>
      <w:marLeft w:val="0"/>
      <w:marRight w:val="0"/>
      <w:marTop w:val="0"/>
      <w:marBottom w:val="0"/>
      <w:divBdr>
        <w:top w:val="none" w:sz="0" w:space="0" w:color="auto"/>
        <w:left w:val="none" w:sz="0" w:space="0" w:color="auto"/>
        <w:bottom w:val="none" w:sz="0" w:space="0" w:color="auto"/>
        <w:right w:val="none" w:sz="0" w:space="0" w:color="auto"/>
      </w:divBdr>
    </w:div>
    <w:div w:id="602079457">
      <w:bodyDiv w:val="1"/>
      <w:marLeft w:val="0"/>
      <w:marRight w:val="0"/>
      <w:marTop w:val="0"/>
      <w:marBottom w:val="0"/>
      <w:divBdr>
        <w:top w:val="none" w:sz="0" w:space="0" w:color="auto"/>
        <w:left w:val="none" w:sz="0" w:space="0" w:color="auto"/>
        <w:bottom w:val="none" w:sz="0" w:space="0" w:color="auto"/>
        <w:right w:val="none" w:sz="0" w:space="0" w:color="auto"/>
      </w:divBdr>
    </w:div>
    <w:div w:id="695927550">
      <w:bodyDiv w:val="1"/>
      <w:marLeft w:val="0"/>
      <w:marRight w:val="0"/>
      <w:marTop w:val="0"/>
      <w:marBottom w:val="0"/>
      <w:divBdr>
        <w:top w:val="none" w:sz="0" w:space="0" w:color="auto"/>
        <w:left w:val="none" w:sz="0" w:space="0" w:color="auto"/>
        <w:bottom w:val="none" w:sz="0" w:space="0" w:color="auto"/>
        <w:right w:val="none" w:sz="0" w:space="0" w:color="auto"/>
      </w:divBdr>
    </w:div>
    <w:div w:id="707681723">
      <w:bodyDiv w:val="1"/>
      <w:marLeft w:val="0"/>
      <w:marRight w:val="0"/>
      <w:marTop w:val="0"/>
      <w:marBottom w:val="0"/>
      <w:divBdr>
        <w:top w:val="none" w:sz="0" w:space="0" w:color="auto"/>
        <w:left w:val="none" w:sz="0" w:space="0" w:color="auto"/>
        <w:bottom w:val="none" w:sz="0" w:space="0" w:color="auto"/>
        <w:right w:val="none" w:sz="0" w:space="0" w:color="auto"/>
      </w:divBdr>
    </w:div>
    <w:div w:id="837648249">
      <w:bodyDiv w:val="1"/>
      <w:marLeft w:val="0"/>
      <w:marRight w:val="0"/>
      <w:marTop w:val="0"/>
      <w:marBottom w:val="0"/>
      <w:divBdr>
        <w:top w:val="none" w:sz="0" w:space="0" w:color="auto"/>
        <w:left w:val="none" w:sz="0" w:space="0" w:color="auto"/>
        <w:bottom w:val="none" w:sz="0" w:space="0" w:color="auto"/>
        <w:right w:val="none" w:sz="0" w:space="0" w:color="auto"/>
      </w:divBdr>
    </w:div>
    <w:div w:id="860053807">
      <w:bodyDiv w:val="1"/>
      <w:marLeft w:val="0"/>
      <w:marRight w:val="0"/>
      <w:marTop w:val="0"/>
      <w:marBottom w:val="0"/>
      <w:divBdr>
        <w:top w:val="none" w:sz="0" w:space="0" w:color="auto"/>
        <w:left w:val="none" w:sz="0" w:space="0" w:color="auto"/>
        <w:bottom w:val="none" w:sz="0" w:space="0" w:color="auto"/>
        <w:right w:val="none" w:sz="0" w:space="0" w:color="auto"/>
      </w:divBdr>
    </w:div>
    <w:div w:id="940993244">
      <w:bodyDiv w:val="1"/>
      <w:marLeft w:val="0"/>
      <w:marRight w:val="0"/>
      <w:marTop w:val="0"/>
      <w:marBottom w:val="0"/>
      <w:divBdr>
        <w:top w:val="none" w:sz="0" w:space="0" w:color="auto"/>
        <w:left w:val="none" w:sz="0" w:space="0" w:color="auto"/>
        <w:bottom w:val="none" w:sz="0" w:space="0" w:color="auto"/>
        <w:right w:val="none" w:sz="0" w:space="0" w:color="auto"/>
      </w:divBdr>
    </w:div>
    <w:div w:id="956985321">
      <w:bodyDiv w:val="1"/>
      <w:marLeft w:val="0"/>
      <w:marRight w:val="0"/>
      <w:marTop w:val="0"/>
      <w:marBottom w:val="0"/>
      <w:divBdr>
        <w:top w:val="none" w:sz="0" w:space="0" w:color="auto"/>
        <w:left w:val="none" w:sz="0" w:space="0" w:color="auto"/>
        <w:bottom w:val="none" w:sz="0" w:space="0" w:color="auto"/>
        <w:right w:val="none" w:sz="0" w:space="0" w:color="auto"/>
      </w:divBdr>
    </w:div>
    <w:div w:id="987518164">
      <w:bodyDiv w:val="1"/>
      <w:marLeft w:val="0"/>
      <w:marRight w:val="0"/>
      <w:marTop w:val="0"/>
      <w:marBottom w:val="0"/>
      <w:divBdr>
        <w:top w:val="none" w:sz="0" w:space="0" w:color="auto"/>
        <w:left w:val="none" w:sz="0" w:space="0" w:color="auto"/>
        <w:bottom w:val="none" w:sz="0" w:space="0" w:color="auto"/>
        <w:right w:val="none" w:sz="0" w:space="0" w:color="auto"/>
      </w:divBdr>
    </w:div>
    <w:div w:id="990328177">
      <w:bodyDiv w:val="1"/>
      <w:marLeft w:val="0"/>
      <w:marRight w:val="0"/>
      <w:marTop w:val="0"/>
      <w:marBottom w:val="0"/>
      <w:divBdr>
        <w:top w:val="none" w:sz="0" w:space="0" w:color="auto"/>
        <w:left w:val="none" w:sz="0" w:space="0" w:color="auto"/>
        <w:bottom w:val="none" w:sz="0" w:space="0" w:color="auto"/>
        <w:right w:val="none" w:sz="0" w:space="0" w:color="auto"/>
      </w:divBdr>
    </w:div>
    <w:div w:id="1031303217">
      <w:bodyDiv w:val="1"/>
      <w:marLeft w:val="0"/>
      <w:marRight w:val="0"/>
      <w:marTop w:val="0"/>
      <w:marBottom w:val="0"/>
      <w:divBdr>
        <w:top w:val="none" w:sz="0" w:space="0" w:color="auto"/>
        <w:left w:val="none" w:sz="0" w:space="0" w:color="auto"/>
        <w:bottom w:val="none" w:sz="0" w:space="0" w:color="auto"/>
        <w:right w:val="none" w:sz="0" w:space="0" w:color="auto"/>
      </w:divBdr>
    </w:div>
    <w:div w:id="1084298840">
      <w:bodyDiv w:val="1"/>
      <w:marLeft w:val="0"/>
      <w:marRight w:val="0"/>
      <w:marTop w:val="0"/>
      <w:marBottom w:val="0"/>
      <w:divBdr>
        <w:top w:val="none" w:sz="0" w:space="0" w:color="auto"/>
        <w:left w:val="none" w:sz="0" w:space="0" w:color="auto"/>
        <w:bottom w:val="none" w:sz="0" w:space="0" w:color="auto"/>
        <w:right w:val="none" w:sz="0" w:space="0" w:color="auto"/>
      </w:divBdr>
    </w:div>
    <w:div w:id="1090202596">
      <w:bodyDiv w:val="1"/>
      <w:marLeft w:val="0"/>
      <w:marRight w:val="0"/>
      <w:marTop w:val="0"/>
      <w:marBottom w:val="0"/>
      <w:divBdr>
        <w:top w:val="none" w:sz="0" w:space="0" w:color="auto"/>
        <w:left w:val="none" w:sz="0" w:space="0" w:color="auto"/>
        <w:bottom w:val="none" w:sz="0" w:space="0" w:color="auto"/>
        <w:right w:val="none" w:sz="0" w:space="0" w:color="auto"/>
      </w:divBdr>
    </w:div>
    <w:div w:id="1113673714">
      <w:bodyDiv w:val="1"/>
      <w:marLeft w:val="0"/>
      <w:marRight w:val="0"/>
      <w:marTop w:val="0"/>
      <w:marBottom w:val="0"/>
      <w:divBdr>
        <w:top w:val="none" w:sz="0" w:space="0" w:color="auto"/>
        <w:left w:val="none" w:sz="0" w:space="0" w:color="auto"/>
        <w:bottom w:val="none" w:sz="0" w:space="0" w:color="auto"/>
        <w:right w:val="none" w:sz="0" w:space="0" w:color="auto"/>
      </w:divBdr>
    </w:div>
    <w:div w:id="1124690385">
      <w:bodyDiv w:val="1"/>
      <w:marLeft w:val="0"/>
      <w:marRight w:val="0"/>
      <w:marTop w:val="0"/>
      <w:marBottom w:val="0"/>
      <w:divBdr>
        <w:top w:val="none" w:sz="0" w:space="0" w:color="auto"/>
        <w:left w:val="none" w:sz="0" w:space="0" w:color="auto"/>
        <w:bottom w:val="none" w:sz="0" w:space="0" w:color="auto"/>
        <w:right w:val="none" w:sz="0" w:space="0" w:color="auto"/>
      </w:divBdr>
    </w:div>
    <w:div w:id="1163738687">
      <w:bodyDiv w:val="1"/>
      <w:marLeft w:val="0"/>
      <w:marRight w:val="0"/>
      <w:marTop w:val="0"/>
      <w:marBottom w:val="0"/>
      <w:divBdr>
        <w:top w:val="none" w:sz="0" w:space="0" w:color="auto"/>
        <w:left w:val="none" w:sz="0" w:space="0" w:color="auto"/>
        <w:bottom w:val="none" w:sz="0" w:space="0" w:color="auto"/>
        <w:right w:val="none" w:sz="0" w:space="0" w:color="auto"/>
      </w:divBdr>
    </w:div>
    <w:div w:id="1192298508">
      <w:bodyDiv w:val="1"/>
      <w:marLeft w:val="0"/>
      <w:marRight w:val="0"/>
      <w:marTop w:val="0"/>
      <w:marBottom w:val="0"/>
      <w:divBdr>
        <w:top w:val="none" w:sz="0" w:space="0" w:color="auto"/>
        <w:left w:val="none" w:sz="0" w:space="0" w:color="auto"/>
        <w:bottom w:val="none" w:sz="0" w:space="0" w:color="auto"/>
        <w:right w:val="none" w:sz="0" w:space="0" w:color="auto"/>
      </w:divBdr>
    </w:div>
    <w:div w:id="1242367991">
      <w:bodyDiv w:val="1"/>
      <w:marLeft w:val="0"/>
      <w:marRight w:val="0"/>
      <w:marTop w:val="0"/>
      <w:marBottom w:val="0"/>
      <w:divBdr>
        <w:top w:val="none" w:sz="0" w:space="0" w:color="auto"/>
        <w:left w:val="none" w:sz="0" w:space="0" w:color="auto"/>
        <w:bottom w:val="none" w:sz="0" w:space="0" w:color="auto"/>
        <w:right w:val="none" w:sz="0" w:space="0" w:color="auto"/>
      </w:divBdr>
    </w:div>
    <w:div w:id="1372001334">
      <w:bodyDiv w:val="1"/>
      <w:marLeft w:val="0"/>
      <w:marRight w:val="0"/>
      <w:marTop w:val="0"/>
      <w:marBottom w:val="0"/>
      <w:divBdr>
        <w:top w:val="none" w:sz="0" w:space="0" w:color="auto"/>
        <w:left w:val="none" w:sz="0" w:space="0" w:color="auto"/>
        <w:bottom w:val="none" w:sz="0" w:space="0" w:color="auto"/>
        <w:right w:val="none" w:sz="0" w:space="0" w:color="auto"/>
      </w:divBdr>
    </w:div>
    <w:div w:id="1413164768">
      <w:bodyDiv w:val="1"/>
      <w:marLeft w:val="0"/>
      <w:marRight w:val="0"/>
      <w:marTop w:val="0"/>
      <w:marBottom w:val="0"/>
      <w:divBdr>
        <w:top w:val="none" w:sz="0" w:space="0" w:color="auto"/>
        <w:left w:val="none" w:sz="0" w:space="0" w:color="auto"/>
        <w:bottom w:val="none" w:sz="0" w:space="0" w:color="auto"/>
        <w:right w:val="none" w:sz="0" w:space="0" w:color="auto"/>
      </w:divBdr>
    </w:div>
    <w:div w:id="1434782302">
      <w:bodyDiv w:val="1"/>
      <w:marLeft w:val="0"/>
      <w:marRight w:val="0"/>
      <w:marTop w:val="0"/>
      <w:marBottom w:val="0"/>
      <w:divBdr>
        <w:top w:val="none" w:sz="0" w:space="0" w:color="auto"/>
        <w:left w:val="none" w:sz="0" w:space="0" w:color="auto"/>
        <w:bottom w:val="none" w:sz="0" w:space="0" w:color="auto"/>
        <w:right w:val="none" w:sz="0" w:space="0" w:color="auto"/>
      </w:divBdr>
    </w:div>
    <w:div w:id="1437796148">
      <w:bodyDiv w:val="1"/>
      <w:marLeft w:val="0"/>
      <w:marRight w:val="0"/>
      <w:marTop w:val="0"/>
      <w:marBottom w:val="0"/>
      <w:divBdr>
        <w:top w:val="none" w:sz="0" w:space="0" w:color="auto"/>
        <w:left w:val="none" w:sz="0" w:space="0" w:color="auto"/>
        <w:bottom w:val="none" w:sz="0" w:space="0" w:color="auto"/>
        <w:right w:val="none" w:sz="0" w:space="0" w:color="auto"/>
      </w:divBdr>
    </w:div>
    <w:div w:id="1546328697">
      <w:bodyDiv w:val="1"/>
      <w:marLeft w:val="0"/>
      <w:marRight w:val="0"/>
      <w:marTop w:val="0"/>
      <w:marBottom w:val="0"/>
      <w:divBdr>
        <w:top w:val="none" w:sz="0" w:space="0" w:color="auto"/>
        <w:left w:val="none" w:sz="0" w:space="0" w:color="auto"/>
        <w:bottom w:val="none" w:sz="0" w:space="0" w:color="auto"/>
        <w:right w:val="none" w:sz="0" w:space="0" w:color="auto"/>
      </w:divBdr>
    </w:div>
    <w:div w:id="1549684055">
      <w:bodyDiv w:val="1"/>
      <w:marLeft w:val="0"/>
      <w:marRight w:val="0"/>
      <w:marTop w:val="0"/>
      <w:marBottom w:val="0"/>
      <w:divBdr>
        <w:top w:val="none" w:sz="0" w:space="0" w:color="auto"/>
        <w:left w:val="none" w:sz="0" w:space="0" w:color="auto"/>
        <w:bottom w:val="none" w:sz="0" w:space="0" w:color="auto"/>
        <w:right w:val="none" w:sz="0" w:space="0" w:color="auto"/>
      </w:divBdr>
    </w:div>
    <w:div w:id="1679120009">
      <w:bodyDiv w:val="1"/>
      <w:marLeft w:val="0"/>
      <w:marRight w:val="0"/>
      <w:marTop w:val="0"/>
      <w:marBottom w:val="0"/>
      <w:divBdr>
        <w:top w:val="none" w:sz="0" w:space="0" w:color="auto"/>
        <w:left w:val="none" w:sz="0" w:space="0" w:color="auto"/>
        <w:bottom w:val="none" w:sz="0" w:space="0" w:color="auto"/>
        <w:right w:val="none" w:sz="0" w:space="0" w:color="auto"/>
      </w:divBdr>
    </w:div>
    <w:div w:id="1700550322">
      <w:bodyDiv w:val="1"/>
      <w:marLeft w:val="0"/>
      <w:marRight w:val="0"/>
      <w:marTop w:val="0"/>
      <w:marBottom w:val="0"/>
      <w:divBdr>
        <w:top w:val="none" w:sz="0" w:space="0" w:color="auto"/>
        <w:left w:val="none" w:sz="0" w:space="0" w:color="auto"/>
        <w:bottom w:val="none" w:sz="0" w:space="0" w:color="auto"/>
        <w:right w:val="none" w:sz="0" w:space="0" w:color="auto"/>
      </w:divBdr>
    </w:div>
    <w:div w:id="1783189952">
      <w:bodyDiv w:val="1"/>
      <w:marLeft w:val="0"/>
      <w:marRight w:val="0"/>
      <w:marTop w:val="0"/>
      <w:marBottom w:val="0"/>
      <w:divBdr>
        <w:top w:val="none" w:sz="0" w:space="0" w:color="auto"/>
        <w:left w:val="none" w:sz="0" w:space="0" w:color="auto"/>
        <w:bottom w:val="none" w:sz="0" w:space="0" w:color="auto"/>
        <w:right w:val="none" w:sz="0" w:space="0" w:color="auto"/>
      </w:divBdr>
    </w:div>
    <w:div w:id="1788086109">
      <w:bodyDiv w:val="1"/>
      <w:marLeft w:val="0"/>
      <w:marRight w:val="0"/>
      <w:marTop w:val="0"/>
      <w:marBottom w:val="0"/>
      <w:divBdr>
        <w:top w:val="none" w:sz="0" w:space="0" w:color="auto"/>
        <w:left w:val="none" w:sz="0" w:space="0" w:color="auto"/>
        <w:bottom w:val="none" w:sz="0" w:space="0" w:color="auto"/>
        <w:right w:val="none" w:sz="0" w:space="0" w:color="auto"/>
      </w:divBdr>
    </w:div>
    <w:div w:id="1790121756">
      <w:bodyDiv w:val="1"/>
      <w:marLeft w:val="0"/>
      <w:marRight w:val="0"/>
      <w:marTop w:val="0"/>
      <w:marBottom w:val="0"/>
      <w:divBdr>
        <w:top w:val="none" w:sz="0" w:space="0" w:color="auto"/>
        <w:left w:val="none" w:sz="0" w:space="0" w:color="auto"/>
        <w:bottom w:val="none" w:sz="0" w:space="0" w:color="auto"/>
        <w:right w:val="none" w:sz="0" w:space="0" w:color="auto"/>
      </w:divBdr>
    </w:div>
    <w:div w:id="1801651883">
      <w:bodyDiv w:val="1"/>
      <w:marLeft w:val="0"/>
      <w:marRight w:val="0"/>
      <w:marTop w:val="0"/>
      <w:marBottom w:val="0"/>
      <w:divBdr>
        <w:top w:val="none" w:sz="0" w:space="0" w:color="auto"/>
        <w:left w:val="none" w:sz="0" w:space="0" w:color="auto"/>
        <w:bottom w:val="none" w:sz="0" w:space="0" w:color="auto"/>
        <w:right w:val="none" w:sz="0" w:space="0" w:color="auto"/>
      </w:divBdr>
    </w:div>
    <w:div w:id="1839232333">
      <w:bodyDiv w:val="1"/>
      <w:marLeft w:val="0"/>
      <w:marRight w:val="0"/>
      <w:marTop w:val="0"/>
      <w:marBottom w:val="0"/>
      <w:divBdr>
        <w:top w:val="none" w:sz="0" w:space="0" w:color="auto"/>
        <w:left w:val="none" w:sz="0" w:space="0" w:color="auto"/>
        <w:bottom w:val="none" w:sz="0" w:space="0" w:color="auto"/>
        <w:right w:val="none" w:sz="0" w:space="0" w:color="auto"/>
      </w:divBdr>
    </w:div>
    <w:div w:id="1886284637">
      <w:bodyDiv w:val="1"/>
      <w:marLeft w:val="0"/>
      <w:marRight w:val="0"/>
      <w:marTop w:val="0"/>
      <w:marBottom w:val="0"/>
      <w:divBdr>
        <w:top w:val="none" w:sz="0" w:space="0" w:color="auto"/>
        <w:left w:val="none" w:sz="0" w:space="0" w:color="auto"/>
        <w:bottom w:val="none" w:sz="0" w:space="0" w:color="auto"/>
        <w:right w:val="none" w:sz="0" w:space="0" w:color="auto"/>
      </w:divBdr>
    </w:div>
    <w:div w:id="1956600683">
      <w:bodyDiv w:val="1"/>
      <w:marLeft w:val="0"/>
      <w:marRight w:val="0"/>
      <w:marTop w:val="0"/>
      <w:marBottom w:val="0"/>
      <w:divBdr>
        <w:top w:val="none" w:sz="0" w:space="0" w:color="auto"/>
        <w:left w:val="none" w:sz="0" w:space="0" w:color="auto"/>
        <w:bottom w:val="none" w:sz="0" w:space="0" w:color="auto"/>
        <w:right w:val="none" w:sz="0" w:space="0" w:color="auto"/>
      </w:divBdr>
    </w:div>
    <w:div w:id="21400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ovoenko\Desktop\&#1057;&#1090;&#1088;&#1072;&#1090;&#1077;&#1075;&#1080;&#1103;\&#1055;&#1083;&#1072;&#1085;%20&#1088;&#1077;&#1072;&#1083;&#1080;&#1079;&#1072;&#1094;&#1080;&#1080;%20&#1089;&#1090;&#1088;&#1072;&#1090;&#1077;&#1075;&#1080;&#1080;%2020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ovoenko\Desktop\&#1057;&#1090;&#1088;&#1072;&#1090;&#1077;&#1075;&#1080;&#1103;\&#1055;&#1083;&#1072;&#1085;%20&#1088;&#1077;&#1072;&#1083;&#1080;&#1079;&#1072;&#1094;&#1080;&#1080;%20&#1089;&#1090;&#1088;&#1072;&#1090;&#1077;&#1075;&#1080;&#1080;%20202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Novoenko\Desktop\&#1057;&#1090;&#1088;&#1072;&#1090;&#1077;&#1075;&#1080;&#1103;\&#1055;&#1083;&#1072;&#1085;%20&#1088;&#1077;&#1072;&#1083;&#1080;&#1079;&#1072;&#1094;&#1080;&#1080;%20&#1089;&#1090;&#1088;&#1072;&#1090;&#1077;&#1075;&#1080;&#1080;%20202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Novoenko\Desktop\&#1057;&#1090;&#1088;&#1072;&#1090;&#1077;&#1075;&#1080;&#1103;\&#1055;&#1083;&#1072;&#1085;%20&#1088;&#1077;&#1072;&#1083;&#1080;&#1079;&#1072;&#1094;&#1080;&#1080;%20&#1089;&#1090;&#1088;&#1072;&#1090;&#1077;&#1075;&#1080;&#1080;%20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Novoenko\Desktop\&#1057;&#1090;&#1088;&#1072;&#1090;&#1077;&#1075;&#1080;&#1103;\&#1055;&#1083;&#1072;&#1085;%20&#1088;&#1077;&#1072;&#1083;&#1080;&#1079;&#1072;&#1094;&#1080;&#1080;%20&#1089;&#1090;&#1088;&#1072;&#1090;&#1077;&#1075;&#1080;&#108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668476785229504E-2"/>
          <c:y val="5.1400554097404488E-2"/>
          <c:w val="0.91934021178387504"/>
          <c:h val="0.69932925051035588"/>
        </c:manualLayout>
      </c:layout>
      <c:lineChart>
        <c:grouping val="standard"/>
        <c:ser>
          <c:idx val="0"/>
          <c:order val="0"/>
          <c:tx>
            <c:v>Иннерционный</c:v>
          </c:tx>
          <c:spPr>
            <a:ln>
              <a:solidFill>
                <a:srgbClr val="FF0000"/>
              </a:solidFill>
            </a:ln>
          </c:spPr>
          <c:marker>
            <c:spPr>
              <a:solidFill>
                <a:srgbClr val="C00000"/>
              </a:solidFill>
              <a:ln>
                <a:solidFill>
                  <a:srgbClr val="FF000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2021'!$D$32:$G$32</c:f>
              <c:numCache>
                <c:formatCode>0.00</c:formatCode>
                <c:ptCount val="4"/>
                <c:pt idx="0">
                  <c:v>1</c:v>
                </c:pt>
                <c:pt idx="1">
                  <c:v>1.1622183062789184</c:v>
                </c:pt>
                <c:pt idx="2">
                  <c:v>1.2651506918166207</c:v>
                </c:pt>
                <c:pt idx="3">
                  <c:v>1.5433772734699258</c:v>
                </c:pt>
              </c:numCache>
            </c:numRef>
          </c:val>
        </c:ser>
        <c:ser>
          <c:idx val="1"/>
          <c:order val="1"/>
          <c:tx>
            <c:v>Реалистичный</c:v>
          </c:tx>
          <c:spPr>
            <a:ln>
              <a:solidFill>
                <a:srgbClr val="0070C0"/>
              </a:solidFill>
            </a:ln>
          </c:spPr>
          <c:marker>
            <c:spPr>
              <a:solidFill>
                <a:srgbClr val="0070C0"/>
              </a:solidFill>
              <a:ln>
                <a:solidFill>
                  <a:srgbClr val="0070C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2021'!$D$33:$G$33</c:f>
              <c:numCache>
                <c:formatCode>0.00</c:formatCode>
                <c:ptCount val="4"/>
                <c:pt idx="0">
                  <c:v>1</c:v>
                </c:pt>
                <c:pt idx="1">
                  <c:v>1.1622183062789184</c:v>
                </c:pt>
                <c:pt idx="2">
                  <c:v>1.3677517630552309</c:v>
                </c:pt>
                <c:pt idx="3">
                  <c:v>1.7166040459275558</c:v>
                </c:pt>
              </c:numCache>
            </c:numRef>
          </c:val>
        </c:ser>
        <c:ser>
          <c:idx val="2"/>
          <c:order val="2"/>
          <c:tx>
            <c:v>Форсированный</c:v>
          </c:tx>
          <c:spPr>
            <a:ln>
              <a:solidFill>
                <a:srgbClr val="00B050"/>
              </a:solidFill>
            </a:ln>
          </c:spPr>
          <c:marker>
            <c:spPr>
              <a:solidFill>
                <a:srgbClr val="00B050"/>
              </a:solidFill>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2021'!$D$34:$G$34</c:f>
              <c:numCache>
                <c:formatCode>0.00</c:formatCode>
                <c:ptCount val="4"/>
                <c:pt idx="0">
                  <c:v>1</c:v>
                </c:pt>
                <c:pt idx="1">
                  <c:v>1.1622183062789184</c:v>
                </c:pt>
                <c:pt idx="2">
                  <c:v>1.5766116463597613</c:v>
                </c:pt>
                <c:pt idx="3">
                  <c:v>2.0083288512411173</c:v>
                </c:pt>
              </c:numCache>
            </c:numRef>
          </c:val>
        </c:ser>
        <c:marker val="1"/>
        <c:axId val="167526400"/>
        <c:axId val="167528320"/>
      </c:lineChart>
      <c:catAx>
        <c:axId val="167526400"/>
        <c:scaling>
          <c:orientation val="minMax"/>
        </c:scaling>
        <c:axPos val="b"/>
        <c:numFmt formatCode="General" sourceLinked="1"/>
        <c:tickLblPos val="nextTo"/>
        <c:crossAx val="167528320"/>
        <c:crosses val="autoZero"/>
        <c:auto val="1"/>
        <c:lblAlgn val="ctr"/>
        <c:lblOffset val="100"/>
      </c:catAx>
      <c:valAx>
        <c:axId val="167528320"/>
        <c:scaling>
          <c:orientation val="minMax"/>
          <c:min val="0.9"/>
        </c:scaling>
        <c:axPos val="l"/>
        <c:majorGridlines/>
        <c:numFmt formatCode="0.00" sourceLinked="1"/>
        <c:tickLblPos val="nextTo"/>
        <c:crossAx val="167526400"/>
        <c:crosses val="autoZero"/>
        <c:crossBetween val="between"/>
      </c:valAx>
    </c:plotArea>
    <c:legend>
      <c:legendPos val="r"/>
      <c:layout>
        <c:manualLayout>
          <c:xMode val="edge"/>
          <c:yMode val="edge"/>
          <c:x val="8.3333333333333644E-3"/>
          <c:y val="0.88541953740157664"/>
          <c:w val="0.9750139982502174"/>
          <c:h val="7.9276574803150021E-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4764248218972993E-2"/>
          <c:y val="4.3051285256009673E-2"/>
          <c:w val="0.91934021178387448"/>
          <c:h val="0.73122563471035362"/>
        </c:manualLayout>
      </c:layout>
      <c:lineChart>
        <c:grouping val="standard"/>
        <c:ser>
          <c:idx val="0"/>
          <c:order val="0"/>
          <c:tx>
            <c:v>Иннерционный</c:v>
          </c:tx>
          <c:spPr>
            <a:ln>
              <a:solidFill>
                <a:srgbClr val="FF0000"/>
              </a:solidFill>
            </a:ln>
          </c:spPr>
          <c:marker>
            <c:spPr>
              <a:solidFill>
                <a:srgbClr val="C00000"/>
              </a:solidFill>
              <a:ln>
                <a:solidFill>
                  <a:srgbClr val="FF000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2021'!$D$54:$G$54</c:f>
              <c:numCache>
                <c:formatCode>0.00</c:formatCode>
                <c:ptCount val="4"/>
                <c:pt idx="0">
                  <c:v>1</c:v>
                </c:pt>
                <c:pt idx="1">
                  <c:v>1.0463672708455731</c:v>
                </c:pt>
                <c:pt idx="2">
                  <c:v>1.096561206965734</c:v>
                </c:pt>
                <c:pt idx="3">
                  <c:v>1.1630199573693798</c:v>
                </c:pt>
              </c:numCache>
            </c:numRef>
          </c:val>
        </c:ser>
        <c:ser>
          <c:idx val="1"/>
          <c:order val="1"/>
          <c:tx>
            <c:v>Реалистичный</c:v>
          </c:tx>
          <c:spPr>
            <a:ln>
              <a:solidFill>
                <a:srgbClr val="0070C0"/>
              </a:solidFill>
            </a:ln>
          </c:spPr>
          <c:marker>
            <c:spPr>
              <a:solidFill>
                <a:srgbClr val="0070C0"/>
              </a:solidFill>
              <a:ln>
                <a:solidFill>
                  <a:srgbClr val="0070C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2021'!$D$55:$G$55</c:f>
              <c:numCache>
                <c:formatCode>0.00</c:formatCode>
                <c:ptCount val="4"/>
                <c:pt idx="0">
                  <c:v>1</c:v>
                </c:pt>
                <c:pt idx="1">
                  <c:v>1.0463672708455731</c:v>
                </c:pt>
                <c:pt idx="2">
                  <c:v>1.1208104888230086</c:v>
                </c:pt>
                <c:pt idx="3">
                  <c:v>1.1853775631947123</c:v>
                </c:pt>
              </c:numCache>
            </c:numRef>
          </c:val>
        </c:ser>
        <c:ser>
          <c:idx val="2"/>
          <c:order val="2"/>
          <c:tx>
            <c:v>Форсированный</c:v>
          </c:tx>
          <c:spPr>
            <a:ln>
              <a:solidFill>
                <a:srgbClr val="00B050"/>
              </a:solidFill>
            </a:ln>
          </c:spPr>
          <c:marker>
            <c:spPr>
              <a:solidFill>
                <a:srgbClr val="00B050"/>
              </a:solidFill>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2021'!$D$56:$G$56</c:f>
              <c:numCache>
                <c:formatCode>0.00</c:formatCode>
                <c:ptCount val="4"/>
                <c:pt idx="0">
                  <c:v>1</c:v>
                </c:pt>
                <c:pt idx="1">
                  <c:v>1.0463672708455731</c:v>
                </c:pt>
                <c:pt idx="2">
                  <c:v>1.1720821105364052</c:v>
                </c:pt>
                <c:pt idx="3">
                  <c:v>1.2443937885684975</c:v>
                </c:pt>
              </c:numCache>
            </c:numRef>
          </c:val>
        </c:ser>
        <c:marker val="1"/>
        <c:axId val="167549952"/>
        <c:axId val="167564416"/>
      </c:lineChart>
      <c:catAx>
        <c:axId val="167549952"/>
        <c:scaling>
          <c:orientation val="minMax"/>
        </c:scaling>
        <c:axPos val="b"/>
        <c:numFmt formatCode="General" sourceLinked="1"/>
        <c:tickLblPos val="nextTo"/>
        <c:crossAx val="167564416"/>
        <c:crosses val="autoZero"/>
        <c:auto val="1"/>
        <c:lblAlgn val="ctr"/>
        <c:lblOffset val="100"/>
      </c:catAx>
      <c:valAx>
        <c:axId val="167564416"/>
        <c:scaling>
          <c:orientation val="minMax"/>
          <c:min val="0.95000000000000062"/>
        </c:scaling>
        <c:axPos val="l"/>
        <c:majorGridlines/>
        <c:numFmt formatCode="0.00" sourceLinked="1"/>
        <c:tickLblPos val="nextTo"/>
        <c:crossAx val="167549952"/>
        <c:crosses val="autoZero"/>
        <c:crossBetween val="between"/>
      </c:valAx>
    </c:plotArea>
    <c:legend>
      <c:legendPos val="r"/>
      <c:layout>
        <c:manualLayout>
          <c:xMode val="edge"/>
          <c:yMode val="edge"/>
          <c:x val="8.3333333333333367E-3"/>
          <c:y val="0.88541953740157475"/>
          <c:w val="0.97501399825021851"/>
          <c:h val="7.9276574803149924E-2"/>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668476785229435E-2"/>
          <c:y val="5.1400554097404488E-2"/>
          <c:w val="0.91934021178387471"/>
          <c:h val="0.68022530369544565"/>
        </c:manualLayout>
      </c:layout>
      <c:lineChart>
        <c:grouping val="standard"/>
        <c:ser>
          <c:idx val="0"/>
          <c:order val="0"/>
          <c:tx>
            <c:v>Иннерционный</c:v>
          </c:tx>
          <c:spPr>
            <a:ln>
              <a:solidFill>
                <a:srgbClr val="FF0000"/>
              </a:solidFill>
            </a:ln>
          </c:spPr>
          <c:marker>
            <c:spPr>
              <a:solidFill>
                <a:srgbClr val="C00000"/>
              </a:solidFill>
              <a:ln>
                <a:solidFill>
                  <a:srgbClr val="FF000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2021'!$D$73:$G$73</c:f>
              <c:numCache>
                <c:formatCode>0.00</c:formatCode>
                <c:ptCount val="4"/>
                <c:pt idx="0">
                  <c:v>1</c:v>
                </c:pt>
                <c:pt idx="1">
                  <c:v>1.0436061507890264</c:v>
                </c:pt>
                <c:pt idx="2">
                  <c:v>1.1392128233546563</c:v>
                </c:pt>
                <c:pt idx="3">
                  <c:v>1.1828790437548029</c:v>
                </c:pt>
              </c:numCache>
            </c:numRef>
          </c:val>
        </c:ser>
        <c:ser>
          <c:idx val="1"/>
          <c:order val="1"/>
          <c:tx>
            <c:v>Реалистичный</c:v>
          </c:tx>
          <c:spPr>
            <a:ln>
              <a:solidFill>
                <a:srgbClr val="0070C0"/>
              </a:solidFill>
            </a:ln>
          </c:spPr>
          <c:marker>
            <c:spPr>
              <a:solidFill>
                <a:srgbClr val="0070C0"/>
              </a:solidFill>
              <a:ln>
                <a:solidFill>
                  <a:srgbClr val="0070C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2021'!$D$74:$G$74</c:f>
              <c:numCache>
                <c:formatCode>0.00</c:formatCode>
                <c:ptCount val="4"/>
                <c:pt idx="0">
                  <c:v>1</c:v>
                </c:pt>
                <c:pt idx="1">
                  <c:v>1.0436061507890264</c:v>
                </c:pt>
                <c:pt idx="2">
                  <c:v>1.1737070816692141</c:v>
                </c:pt>
                <c:pt idx="3">
                  <c:v>1.3270761597709468</c:v>
                </c:pt>
              </c:numCache>
            </c:numRef>
          </c:val>
        </c:ser>
        <c:ser>
          <c:idx val="2"/>
          <c:order val="2"/>
          <c:tx>
            <c:v>Форсированный</c:v>
          </c:tx>
          <c:spPr>
            <a:ln>
              <a:solidFill>
                <a:srgbClr val="00B050"/>
              </a:solidFill>
            </a:ln>
          </c:spPr>
          <c:marker>
            <c:spPr>
              <a:solidFill>
                <a:srgbClr val="00B050"/>
              </a:solidFill>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2021'!$D$75:$G$75</c:f>
              <c:numCache>
                <c:formatCode>0.00</c:formatCode>
                <c:ptCount val="4"/>
                <c:pt idx="0">
                  <c:v>1</c:v>
                </c:pt>
                <c:pt idx="1">
                  <c:v>1.0436061507890264</c:v>
                </c:pt>
                <c:pt idx="2">
                  <c:v>1.2689885975155315</c:v>
                </c:pt>
                <c:pt idx="3">
                  <c:v>1.3802874753652654</c:v>
                </c:pt>
              </c:numCache>
            </c:numRef>
          </c:val>
        </c:ser>
        <c:marker val="1"/>
        <c:axId val="167462016"/>
        <c:axId val="167463552"/>
      </c:lineChart>
      <c:catAx>
        <c:axId val="167462016"/>
        <c:scaling>
          <c:orientation val="minMax"/>
        </c:scaling>
        <c:axPos val="b"/>
        <c:numFmt formatCode="General" sourceLinked="1"/>
        <c:tickLblPos val="nextTo"/>
        <c:crossAx val="167463552"/>
        <c:crosses val="autoZero"/>
        <c:auto val="1"/>
        <c:lblAlgn val="ctr"/>
        <c:lblOffset val="100"/>
      </c:catAx>
      <c:valAx>
        <c:axId val="167463552"/>
        <c:scaling>
          <c:orientation val="minMax"/>
          <c:min val="0.9"/>
        </c:scaling>
        <c:axPos val="l"/>
        <c:majorGridlines/>
        <c:numFmt formatCode="0.00" sourceLinked="1"/>
        <c:tickLblPos val="nextTo"/>
        <c:crossAx val="167462016"/>
        <c:crosses val="autoZero"/>
        <c:crossBetween val="between"/>
      </c:valAx>
    </c:plotArea>
    <c:legend>
      <c:legendPos val="r"/>
      <c:layout>
        <c:manualLayout>
          <c:xMode val="edge"/>
          <c:yMode val="edge"/>
          <c:x val="8.3333333333333367E-3"/>
          <c:y val="0.88541953740157475"/>
          <c:w val="0.97501399825021851"/>
          <c:h val="7.9276574803149924E-2"/>
        </c:manualLayout>
      </c:layout>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668476785229435E-2"/>
          <c:y val="5.1400554097404488E-2"/>
          <c:w val="0.91934021178387493"/>
          <c:h val="0.71562353378394072"/>
        </c:manualLayout>
      </c:layout>
      <c:lineChart>
        <c:grouping val="standard"/>
        <c:ser>
          <c:idx val="0"/>
          <c:order val="0"/>
          <c:tx>
            <c:v>Иннерционный</c:v>
          </c:tx>
          <c:spPr>
            <a:ln>
              <a:solidFill>
                <a:srgbClr val="FF0000"/>
              </a:solidFill>
            </a:ln>
          </c:spPr>
          <c:marker>
            <c:spPr>
              <a:solidFill>
                <a:srgbClr val="C00000"/>
              </a:solidFill>
              <a:ln>
                <a:solidFill>
                  <a:srgbClr val="FF000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2021'!$D$92:$G$92</c:f>
              <c:numCache>
                <c:formatCode>0.00</c:formatCode>
                <c:ptCount val="4"/>
                <c:pt idx="0">
                  <c:v>1</c:v>
                </c:pt>
                <c:pt idx="1">
                  <c:v>1.2788563033815381</c:v>
                </c:pt>
                <c:pt idx="2">
                  <c:v>1.3874215899976576</c:v>
                </c:pt>
                <c:pt idx="3">
                  <c:v>1.5208398291100373</c:v>
                </c:pt>
              </c:numCache>
            </c:numRef>
          </c:val>
        </c:ser>
        <c:ser>
          <c:idx val="1"/>
          <c:order val="1"/>
          <c:tx>
            <c:v>Реалистичный</c:v>
          </c:tx>
          <c:spPr>
            <a:ln>
              <a:solidFill>
                <a:srgbClr val="0070C0"/>
              </a:solidFill>
            </a:ln>
          </c:spPr>
          <c:marker>
            <c:spPr>
              <a:solidFill>
                <a:srgbClr val="0070C0"/>
              </a:solidFill>
              <a:ln>
                <a:solidFill>
                  <a:srgbClr val="0070C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2021'!$D$93:$G$93</c:f>
              <c:numCache>
                <c:formatCode>0.00</c:formatCode>
                <c:ptCount val="4"/>
                <c:pt idx="0">
                  <c:v>1</c:v>
                </c:pt>
                <c:pt idx="1">
                  <c:v>1.2788563033815381</c:v>
                </c:pt>
                <c:pt idx="2">
                  <c:v>1.4504949699907621</c:v>
                </c:pt>
                <c:pt idx="3">
                  <c:v>1.6246628718174161</c:v>
                </c:pt>
              </c:numCache>
            </c:numRef>
          </c:val>
        </c:ser>
        <c:ser>
          <c:idx val="2"/>
          <c:order val="2"/>
          <c:tx>
            <c:v>Форсированный</c:v>
          </c:tx>
          <c:spPr>
            <a:ln>
              <a:solidFill>
                <a:srgbClr val="00B050"/>
              </a:solidFill>
            </a:ln>
          </c:spPr>
          <c:marker>
            <c:spPr>
              <a:solidFill>
                <a:srgbClr val="00B050"/>
              </a:solidFill>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2021'!$D$94:$G$94</c:f>
              <c:numCache>
                <c:formatCode>0.00</c:formatCode>
                <c:ptCount val="4"/>
                <c:pt idx="0">
                  <c:v>1</c:v>
                </c:pt>
                <c:pt idx="1">
                  <c:v>1.2788563033815381</c:v>
                </c:pt>
                <c:pt idx="2">
                  <c:v>1.5516508733094259</c:v>
                </c:pt>
                <c:pt idx="3">
                  <c:v>1.7032009463285875</c:v>
                </c:pt>
              </c:numCache>
            </c:numRef>
          </c:val>
        </c:ser>
        <c:marker val="1"/>
        <c:axId val="167480320"/>
        <c:axId val="167969920"/>
      </c:lineChart>
      <c:catAx>
        <c:axId val="167480320"/>
        <c:scaling>
          <c:orientation val="minMax"/>
        </c:scaling>
        <c:axPos val="b"/>
        <c:numFmt formatCode="General" sourceLinked="1"/>
        <c:tickLblPos val="nextTo"/>
        <c:crossAx val="167969920"/>
        <c:crosses val="autoZero"/>
        <c:auto val="1"/>
        <c:lblAlgn val="ctr"/>
        <c:lblOffset val="100"/>
      </c:catAx>
      <c:valAx>
        <c:axId val="167969920"/>
        <c:scaling>
          <c:orientation val="minMax"/>
          <c:min val="0.9"/>
        </c:scaling>
        <c:axPos val="l"/>
        <c:majorGridlines/>
        <c:numFmt formatCode="0.00" sourceLinked="1"/>
        <c:tickLblPos val="nextTo"/>
        <c:crossAx val="167480320"/>
        <c:crosses val="autoZero"/>
        <c:crossBetween val="between"/>
      </c:valAx>
    </c:plotArea>
    <c:legend>
      <c:legendPos val="r"/>
      <c:layout>
        <c:manualLayout>
          <c:xMode val="edge"/>
          <c:yMode val="edge"/>
          <c:x val="8.3333333333333367E-3"/>
          <c:y val="0.88541953740157475"/>
          <c:w val="0.97501399825021851"/>
          <c:h val="7.9276574803149924E-2"/>
        </c:manualLayout>
      </c:layout>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4668476785229435E-2"/>
          <c:y val="5.1400554097404488E-2"/>
          <c:w val="0.91934021178387482"/>
          <c:h val="0.71090824876836922"/>
        </c:manualLayout>
      </c:layout>
      <c:lineChart>
        <c:grouping val="standard"/>
        <c:ser>
          <c:idx val="0"/>
          <c:order val="0"/>
          <c:tx>
            <c:v>Иннерционный</c:v>
          </c:tx>
          <c:spPr>
            <a:ln>
              <a:solidFill>
                <a:srgbClr val="FF0000"/>
              </a:solidFill>
            </a:ln>
          </c:spPr>
          <c:marker>
            <c:spPr>
              <a:solidFill>
                <a:srgbClr val="C00000"/>
              </a:solidFill>
              <a:ln>
                <a:solidFill>
                  <a:srgbClr val="FF000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2021'!$D$98:$G$98</c:f>
              <c:numCache>
                <c:formatCode>0.00</c:formatCode>
                <c:ptCount val="4"/>
                <c:pt idx="0">
                  <c:v>1</c:v>
                </c:pt>
                <c:pt idx="1">
                  <c:v>1.1287104848245801</c:v>
                </c:pt>
                <c:pt idx="2">
                  <c:v>1.2168767448454418</c:v>
                </c:pt>
                <c:pt idx="3">
                  <c:v>1.340512200169647</c:v>
                </c:pt>
              </c:numCache>
            </c:numRef>
          </c:val>
        </c:ser>
        <c:ser>
          <c:idx val="1"/>
          <c:order val="1"/>
          <c:tx>
            <c:v>Реалистичный</c:v>
          </c:tx>
          <c:spPr>
            <a:ln>
              <a:solidFill>
                <a:srgbClr val="0070C0"/>
              </a:solidFill>
            </a:ln>
          </c:spPr>
          <c:marker>
            <c:spPr>
              <a:solidFill>
                <a:srgbClr val="0070C0"/>
              </a:solidFill>
              <a:ln>
                <a:solidFill>
                  <a:srgbClr val="0070C0"/>
                </a:solidFill>
              </a:ln>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2021'!$D$99:$G$99</c:f>
              <c:numCache>
                <c:formatCode>0.00</c:formatCode>
                <c:ptCount val="4"/>
                <c:pt idx="0">
                  <c:v>1</c:v>
                </c:pt>
                <c:pt idx="1">
                  <c:v>1.1287104848245801</c:v>
                </c:pt>
                <c:pt idx="2">
                  <c:v>1.2710243052521433</c:v>
                </c:pt>
                <c:pt idx="3">
                  <c:v>1.4472597511724878</c:v>
                </c:pt>
              </c:numCache>
            </c:numRef>
          </c:val>
        </c:ser>
        <c:ser>
          <c:idx val="2"/>
          <c:order val="2"/>
          <c:tx>
            <c:v>Форсированный</c:v>
          </c:tx>
          <c:spPr>
            <a:ln>
              <a:solidFill>
                <a:srgbClr val="00B050"/>
              </a:solidFill>
            </a:ln>
          </c:spPr>
          <c:marker>
            <c:spPr>
              <a:solidFill>
                <a:srgbClr val="00B050"/>
              </a:solidFill>
            </c:spPr>
          </c:marker>
          <c:cat>
            <c:numRef>
              <c:f>'показатели стратегии 2021'!$D$14:$G$14</c:f>
              <c:numCache>
                <c:formatCode>General</c:formatCode>
                <c:ptCount val="4"/>
                <c:pt idx="0">
                  <c:v>2016</c:v>
                </c:pt>
                <c:pt idx="1">
                  <c:v>2019</c:v>
                </c:pt>
                <c:pt idx="2">
                  <c:v>2024</c:v>
                </c:pt>
                <c:pt idx="3" formatCode="#,##0">
                  <c:v>2030</c:v>
                </c:pt>
              </c:numCache>
            </c:numRef>
          </c:cat>
          <c:val>
            <c:numRef>
              <c:f>'показатели стратегии 2021'!$D$100:$G$100</c:f>
              <c:numCache>
                <c:formatCode>0.00</c:formatCode>
                <c:ptCount val="4"/>
                <c:pt idx="0">
                  <c:v>1</c:v>
                </c:pt>
                <c:pt idx="1">
                  <c:v>1.1287104848245801</c:v>
                </c:pt>
                <c:pt idx="2">
                  <c:v>1.3819091391037321</c:v>
                </c:pt>
                <c:pt idx="3">
                  <c:v>1.5568867577648338</c:v>
                </c:pt>
              </c:numCache>
            </c:numRef>
          </c:val>
        </c:ser>
        <c:marker val="1"/>
        <c:axId val="167986304"/>
        <c:axId val="167988224"/>
      </c:lineChart>
      <c:catAx>
        <c:axId val="167986304"/>
        <c:scaling>
          <c:orientation val="minMax"/>
        </c:scaling>
        <c:axPos val="b"/>
        <c:numFmt formatCode="General" sourceLinked="1"/>
        <c:tickLblPos val="nextTo"/>
        <c:crossAx val="167988224"/>
        <c:crosses val="autoZero"/>
        <c:auto val="1"/>
        <c:lblAlgn val="ctr"/>
        <c:lblOffset val="100"/>
      </c:catAx>
      <c:valAx>
        <c:axId val="167988224"/>
        <c:scaling>
          <c:orientation val="minMax"/>
          <c:min val="0.9"/>
        </c:scaling>
        <c:axPos val="l"/>
        <c:majorGridlines/>
        <c:numFmt formatCode="0.0" sourceLinked="0"/>
        <c:tickLblPos val="nextTo"/>
        <c:crossAx val="167986304"/>
        <c:crosses val="autoZero"/>
        <c:crossBetween val="between"/>
      </c:valAx>
    </c:plotArea>
    <c:legend>
      <c:legendPos val="r"/>
      <c:layout>
        <c:manualLayout>
          <c:xMode val="edge"/>
          <c:yMode val="edge"/>
          <c:x val="1.5425477793653695E-2"/>
          <c:y val="0.88768058102326042"/>
          <c:w val="0.97163846223694261"/>
          <c:h val="0.11231941897673745"/>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0.07586</cdr:x>
      <cdr:y>0.02589</cdr:y>
    </cdr:from>
    <cdr:to>
      <cdr:x>0.76724</cdr:x>
      <cdr:y>0.21359</cdr:y>
    </cdr:to>
    <cdr:sp macro="" textlink="">
      <cdr:nvSpPr>
        <cdr:cNvPr id="2" name="TextBox 1"/>
        <cdr:cNvSpPr txBox="1"/>
      </cdr:nvSpPr>
      <cdr:spPr>
        <a:xfrm xmlns:a="http://schemas.openxmlformats.org/drawingml/2006/main">
          <a:off x="419100" y="76200"/>
          <a:ext cx="3819525" cy="552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Лучшие условия для бизнеса: институты и инфраструктура</a:t>
          </a:r>
        </a:p>
      </cdr:txBody>
    </cdr:sp>
  </cdr:relSizeAnchor>
</c:userShapes>
</file>

<file path=word/drawings/drawing2.xml><?xml version="1.0" encoding="utf-8"?>
<c:userShapes xmlns:c="http://schemas.openxmlformats.org/drawingml/2006/chart">
  <cdr:relSizeAnchor xmlns:cdr="http://schemas.openxmlformats.org/drawingml/2006/chartDrawing">
    <cdr:from>
      <cdr:x>0.07903</cdr:x>
      <cdr:y>0</cdr:y>
    </cdr:from>
    <cdr:to>
      <cdr:x>0.61007</cdr:x>
      <cdr:y>0.1521</cdr:y>
    </cdr:to>
    <cdr:sp macro="" textlink="">
      <cdr:nvSpPr>
        <cdr:cNvPr id="2" name="TextBox 1"/>
        <cdr:cNvSpPr txBox="1"/>
      </cdr:nvSpPr>
      <cdr:spPr>
        <a:xfrm xmlns:a="http://schemas.openxmlformats.org/drawingml/2006/main">
          <a:off x="355297" y="0"/>
          <a:ext cx="2387450" cy="3056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Развитие АПК</a:t>
          </a:r>
        </a:p>
      </cdr:txBody>
    </cdr:sp>
  </cdr:relSizeAnchor>
</c:userShapes>
</file>

<file path=word/drawings/drawing3.xml><?xml version="1.0" encoding="utf-8"?>
<c:userShapes xmlns:c="http://schemas.openxmlformats.org/drawingml/2006/chart">
  <cdr:relSizeAnchor xmlns:cdr="http://schemas.openxmlformats.org/drawingml/2006/chartDrawing">
    <cdr:from>
      <cdr:x>0.08621</cdr:x>
      <cdr:y>0.06472</cdr:y>
    </cdr:from>
    <cdr:to>
      <cdr:x>0.69138</cdr:x>
      <cdr:y>0.21036</cdr:y>
    </cdr:to>
    <cdr:sp macro="" textlink="">
      <cdr:nvSpPr>
        <cdr:cNvPr id="2" name="TextBox 1"/>
        <cdr:cNvSpPr txBox="1"/>
      </cdr:nvSpPr>
      <cdr:spPr>
        <a:xfrm xmlns:a="http://schemas.openxmlformats.org/drawingml/2006/main">
          <a:off x="476250" y="190500"/>
          <a:ext cx="3343275"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0.10517</cdr:x>
      <cdr:y>0.10356</cdr:y>
    </cdr:from>
    <cdr:to>
      <cdr:x>0.56724</cdr:x>
      <cdr:y>0.3301</cdr:y>
    </cdr:to>
    <cdr:sp macro="" textlink="">
      <cdr:nvSpPr>
        <cdr:cNvPr id="3" name="TextBox 2"/>
        <cdr:cNvSpPr txBox="1"/>
      </cdr:nvSpPr>
      <cdr:spPr>
        <a:xfrm xmlns:a="http://schemas.openxmlformats.org/drawingml/2006/main">
          <a:off x="581025" y="304800"/>
          <a:ext cx="2552700" cy="666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0.07869</cdr:x>
      <cdr:y>0.02523</cdr:y>
    </cdr:from>
    <cdr:to>
      <cdr:x>0.70111</cdr:x>
      <cdr:y>0.33628</cdr:y>
    </cdr:to>
    <cdr:sp macro="" textlink="">
      <cdr:nvSpPr>
        <cdr:cNvPr id="4" name="TextBox 3"/>
        <cdr:cNvSpPr txBox="1"/>
      </cdr:nvSpPr>
      <cdr:spPr>
        <a:xfrm xmlns:a="http://schemas.openxmlformats.org/drawingml/2006/main">
          <a:off x="320810" y="54314"/>
          <a:ext cx="2537420" cy="669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Новое качество жизни, туризма и спорта</a:t>
          </a:r>
        </a:p>
      </cdr:txBody>
    </cdr:sp>
  </cdr:relSizeAnchor>
</c:userShapes>
</file>

<file path=word/drawings/drawing4.xml><?xml version="1.0" encoding="utf-8"?>
<c:userShapes xmlns:c="http://schemas.openxmlformats.org/drawingml/2006/chart">
  <cdr:relSizeAnchor xmlns:cdr="http://schemas.openxmlformats.org/drawingml/2006/chartDrawing">
    <cdr:from>
      <cdr:x>0.07759</cdr:x>
      <cdr:y>0</cdr:y>
    </cdr:from>
    <cdr:to>
      <cdr:x>0.72107</cdr:x>
      <cdr:y>0.31872</cdr:y>
    </cdr:to>
    <cdr:sp macro="" textlink="">
      <cdr:nvSpPr>
        <cdr:cNvPr id="2" name="TextBox 1"/>
        <cdr:cNvSpPr txBox="1"/>
      </cdr:nvSpPr>
      <cdr:spPr>
        <a:xfrm xmlns:a="http://schemas.openxmlformats.org/drawingml/2006/main">
          <a:off x="357698" y="0"/>
          <a:ext cx="2966527" cy="6860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t>Кадры и профессиональные компетенции</a:t>
          </a:r>
        </a:p>
      </cdr:txBody>
    </cdr:sp>
  </cdr:relSizeAnchor>
</c:userShapes>
</file>

<file path=word/drawings/drawing5.xml><?xml version="1.0" encoding="utf-8"?>
<c:userShapes xmlns:c="http://schemas.openxmlformats.org/drawingml/2006/chart">
  <cdr:relSizeAnchor xmlns:cdr="http://schemas.openxmlformats.org/drawingml/2006/chartDrawing">
    <cdr:from>
      <cdr:x>0.08621</cdr:x>
      <cdr:y>0.06472</cdr:y>
    </cdr:from>
    <cdr:to>
      <cdr:x>0.69138</cdr:x>
      <cdr:y>0.21036</cdr:y>
    </cdr:to>
    <cdr:sp macro="" textlink="">
      <cdr:nvSpPr>
        <cdr:cNvPr id="2" name="TextBox 1"/>
        <cdr:cNvSpPr txBox="1"/>
      </cdr:nvSpPr>
      <cdr:spPr>
        <a:xfrm xmlns:a="http://schemas.openxmlformats.org/drawingml/2006/main">
          <a:off x="476250" y="190500"/>
          <a:ext cx="3343275"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0.10517</cdr:x>
      <cdr:y>0.10356</cdr:y>
    </cdr:from>
    <cdr:to>
      <cdr:x>0.56724</cdr:x>
      <cdr:y>0.3301</cdr:y>
    </cdr:to>
    <cdr:sp macro="" textlink="">
      <cdr:nvSpPr>
        <cdr:cNvPr id="3" name="TextBox 2"/>
        <cdr:cNvSpPr txBox="1"/>
      </cdr:nvSpPr>
      <cdr:spPr>
        <a:xfrm xmlns:a="http://schemas.openxmlformats.org/drawingml/2006/main">
          <a:off x="581025" y="304800"/>
          <a:ext cx="2552700" cy="666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cdr:x>
      <cdr:y>0</cdr:y>
    </cdr:from>
    <cdr:to>
      <cdr:x>0.85518</cdr:x>
      <cdr:y>0.23301</cdr:y>
    </cdr:to>
    <cdr:sp macro="" textlink="">
      <cdr:nvSpPr>
        <cdr:cNvPr id="4" name="TextBox 3"/>
        <cdr:cNvSpPr txBox="1"/>
      </cdr:nvSpPr>
      <cdr:spPr>
        <a:xfrm xmlns:a="http://schemas.openxmlformats.org/drawingml/2006/main">
          <a:off x="0" y="0"/>
          <a:ext cx="5261508" cy="415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ru-RU" sz="1400" b="1" i="0" baseline="0">
              <a:latin typeface="+mn-lt"/>
              <a:ea typeface="+mn-ea"/>
              <a:cs typeface="+mn-cs"/>
            </a:rPr>
            <a:t>Обобщенный интегральный показатель</a:t>
          </a:r>
          <a:endParaRPr lang="ru-RU" sz="14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6C0BD7F-FA5A-41E9-8624-052B6C00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Ольга Михайловна</dc:creator>
  <cp:lastModifiedBy>Novoenko</cp:lastModifiedBy>
  <cp:revision>2</cp:revision>
  <cp:lastPrinted>2021-12-08T09:48:00Z</cp:lastPrinted>
  <dcterms:created xsi:type="dcterms:W3CDTF">2021-12-13T10:22:00Z</dcterms:created>
  <dcterms:modified xsi:type="dcterms:W3CDTF">2021-12-13T10:22:00Z</dcterms:modified>
</cp:coreProperties>
</file>